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2932F">
      <w:pPr>
        <w:pStyle w:val="9"/>
      </w:pPr>
      <w:r>
        <w:rPr>
          <w:rFonts w:ascii="Times New Roman"/>
        </w:rPr>
        <w:t>ICS</w:t>
      </w:r>
      <w:r>
        <w:rPr>
          <w:rFonts w:hint="eastAsia" w:ascii="MS Mincho" w:hAnsi="MS Mincho" w:eastAsia="MS Mincho" w:cs="MS Mincho"/>
        </w:rPr>
        <w:t> </w:t>
      </w:r>
      <w:bookmarkStart w:id="0" w:name="ICS"/>
      <w:r>
        <w:rPr>
          <w:rFonts w:hint="eastAsia" w:ascii="黑体" w:hAnsi="Times New Roman" w:eastAsia="黑体" w:cs="Times New Roman"/>
          <w:sz w:val="21"/>
          <w:szCs w:val="21"/>
          <w:lang w:val="en-US" w:eastAsia="zh-CN" w:bidi="ar-SA"/>
        </w:rPr>
        <w:fldChar w:fldCharType="begin">
          <w:ffData>
            <w:name w:val="ICS"/>
            <w:enabled/>
            <w:calcOnExit w:val="0"/>
            <w:helpText w:type="text" w:val="请输入正确的ICS号："/>
            <w:textInput>
              <w:default w:val="点击此处添加ICS号"/>
            </w:textInput>
          </w:ffData>
        </w:fldChar>
      </w:r>
      <w:r>
        <w:rPr>
          <w:rFonts w:hint="eastAsia" w:ascii="黑体" w:hAnsi="Times New Roman" w:eastAsia="黑体" w:cs="Times New Roman"/>
          <w:sz w:val="21"/>
          <w:szCs w:val="21"/>
          <w:lang w:val="en-US" w:eastAsia="zh-CN" w:bidi="ar-SA"/>
        </w:rPr>
        <w:instrText xml:space="preserve">FORMTEXT</w:instrText>
      </w:r>
      <w:r>
        <w:rPr>
          <w:rFonts w:hint="eastAsia" w:ascii="黑体" w:hAnsi="Times New Roman" w:eastAsia="黑体" w:cs="Times New Roman"/>
          <w:sz w:val="21"/>
          <w:szCs w:val="21"/>
          <w:lang w:val="en-US" w:eastAsia="zh-CN" w:bidi="ar-SA"/>
        </w:rPr>
        <w:fldChar w:fldCharType="separate"/>
      </w:r>
      <w:r>
        <w:rPr>
          <w:rFonts w:hint="eastAsia" w:ascii="黑体" w:hAnsi="Times New Roman" w:eastAsia="黑体" w:cs="Times New Roman"/>
          <w:sz w:val="21"/>
          <w:szCs w:val="21"/>
          <w:lang w:val="en-US" w:eastAsia="zh-CN" w:bidi="ar-SA"/>
        </w:rPr>
        <w:t>点击此处添加ICS号</w:t>
      </w:r>
      <w:r>
        <w:rPr>
          <w:rFonts w:hint="eastAsia" w:ascii="黑体" w:hAnsi="Times New Roman" w:eastAsia="黑体" w:cs="Times New Roman"/>
          <w:sz w:val="21"/>
          <w:szCs w:val="21"/>
          <w:lang w:val="en-US" w:eastAsia="zh-CN" w:bidi="ar-SA"/>
        </w:rPr>
        <w:fldChar w:fldCharType="end"/>
      </w:r>
      <w:bookmarkEnd w:id="0"/>
    </w:p>
    <w:p w14:paraId="0BDA631F">
      <w:pPr>
        <w:pStyle w:val="9"/>
      </w:pPr>
      <w:bookmarkStart w:id="1" w:name="WXFLH"/>
      <w:r>
        <w:rPr>
          <w:rFonts w:hint="eastAsia" w:ascii="黑体" w:hAnsi="Times New Roman" w:eastAsia="黑体" w:cs="Times New Roman"/>
          <w:sz w:val="21"/>
          <w:szCs w:val="21"/>
          <w:lang w:val="en-US" w:eastAsia="zh-CN" w:bidi="ar-SA"/>
        </w:rPr>
        <w:fldChar w:fldCharType="begin">
          <w:ffData>
            <w:name w:val="WXFLH"/>
            <w:enabled/>
            <w:calcOnExit w:val="0"/>
            <w:helpText w:type="text" w:val="请输入中国标准文献分类号："/>
            <w:textInput>
              <w:default w:val="点击此处添加中国标准文献分类号"/>
            </w:textInput>
          </w:ffData>
        </w:fldChar>
      </w:r>
      <w:r>
        <w:rPr>
          <w:rFonts w:hint="eastAsia" w:ascii="黑体" w:hAnsi="Times New Roman" w:eastAsia="黑体" w:cs="Times New Roman"/>
          <w:sz w:val="21"/>
          <w:szCs w:val="21"/>
          <w:lang w:val="en-US" w:eastAsia="zh-CN" w:bidi="ar-SA"/>
        </w:rPr>
        <w:instrText xml:space="preserve">FORMTEXT</w:instrText>
      </w:r>
      <w:r>
        <w:rPr>
          <w:rFonts w:hint="eastAsia" w:ascii="黑体" w:hAnsi="Times New Roman" w:eastAsia="黑体" w:cs="Times New Roman"/>
          <w:sz w:val="21"/>
          <w:szCs w:val="21"/>
          <w:lang w:val="en-US" w:eastAsia="zh-CN" w:bidi="ar-SA"/>
        </w:rPr>
        <w:fldChar w:fldCharType="separate"/>
      </w:r>
      <w:r>
        <w:rPr>
          <w:rFonts w:hint="eastAsia" w:ascii="黑体" w:hAnsi="Times New Roman" w:eastAsia="黑体" w:cs="Times New Roman"/>
          <w:sz w:val="21"/>
          <w:szCs w:val="21"/>
          <w:lang w:val="en-US" w:eastAsia="zh-CN" w:bidi="ar-SA"/>
        </w:rPr>
        <w:t>点击此处添加中国标准文献分类号</w:t>
      </w:r>
      <w:r>
        <w:rPr>
          <w:rFonts w:hint="eastAsia" w:ascii="黑体" w:hAnsi="Times New Roman" w:eastAsia="黑体" w:cs="Times New Roman"/>
          <w:sz w:val="21"/>
          <w:szCs w:val="21"/>
          <w:lang w:val="en-US" w:eastAsia="zh-CN" w:bidi="ar-SA"/>
        </w:rPr>
        <w:fldChar w:fldCharType="end"/>
      </w:r>
      <w:bookmarkEnd w:id="1"/>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14:paraId="7109E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1" w:type="dxa"/>
            <w:tcBorders>
              <w:top w:val="nil"/>
              <w:left w:val="nil"/>
              <w:bottom w:val="nil"/>
              <w:right w:val="nil"/>
            </w:tcBorders>
            <w:noWrap w:val="0"/>
            <w:vAlign w:val="top"/>
          </w:tcPr>
          <w:p w14:paraId="29A3CB51">
            <w:pPr>
              <w:pStyle w:val="9"/>
            </w:pPr>
            <w: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5.25pt;margin-top:0pt;height:15.6pt;width:68.25pt;z-index:-251656192;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2fWmx8CAAAzBAAADgAAAGRycy9lMm9Eb2MueG1srVPBjtMw&#10;EL0j8Q+W7zRN1W13o6arVasipAVWWvgA13EaC8djxm7T8jNI3PgIPgfxG4ydtpTlsgdyiDyemed5&#10;z8+z231r2E6h12BLng+GnCkrodJ2U/KPH1avrjnzQdhKGLCq5Afl+e385YtZ5wo1ggZMpZARiPVF&#10;50rehOCKLPOyUa3wA3DKUrIGbEWgEDdZhaIj9NZko+FwknWAlUOQynvaXfZJfkTE5wBCXWupliC3&#10;rbKhR0VlRCBKvtHO83matq6VDO/r2qvATMmJaUh/OoTW6/jP5jNRbFC4RsvjCOI5Izzh1Apt6dAz&#10;1FIEwbao/4FqtUTwUIeBhDbriSRFiEU+fKLNYyOcSlxIau/Oovv/Byvf7R6Q6YqcwJkVLV34r6/f&#10;f/74xvKoTed8QSWP7gEjO+/uQX7yzMKiEXaj7hCha5SoaKJUn/3VEANPrWzdvYWKoMU2QJJpX2Mb&#10;AUkAtk+3cTjfhtoHJmnzejKZTq84k5TKb67zUbqtTBSnZoc+vFbQsrgoOdJlJ3Cxu/eBhqfSU0ka&#10;HoyuVtqYFOBmvTDIdoKMsUpf5Est/rLM2FhsIbb16X5HJWsdjznR7OVaQ3Ugygi91+il0aIB/MJZ&#10;Rz4ruf+8Fag4M28syXaTj8fRmCkYX02JJcPLzPoyI6wkqJIHzvrlIvRm3jrUm4ZOypMEFu5I6lon&#10;GeJ8/VREMAbkpUT16Pto1ss4Vf156/P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yK4v7NUAAAAH&#10;AQAADwAAAAAAAAABACAAAAAiAAAAZHJzL2Rvd25yZXYueG1sUEsBAhQAFAAAAAgAh07iQP9n1psf&#10;AgAAMwQAAA4AAAAAAAAAAQAgAAAAJAEAAGRycy9lMm9Eb2MueG1sUEsFBgAAAAAGAAYAWQEAALUF&#10;A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733451FA">
      <w:pPr>
        <w:pStyle w:val="10"/>
      </w:pPr>
      <w:r>
        <w:t>DB</w:t>
      </w:r>
      <w:bookmarkStart w:id="3" w:name="c3"/>
      <w:r>
        <w:rPr>
          <w:rFonts w:ascii="Times New Roman" w:hAnsi="Times New Roman" w:eastAsia="宋体" w:cs="Times New Roman"/>
          <w:b/>
          <w:w w:val="130"/>
          <w:kern w:val="0"/>
          <w:sz w:val="96"/>
          <w:szCs w:val="96"/>
          <w:lang w:val="en-US" w:eastAsia="zh-CN" w:bidi="ar-SA"/>
        </w:rPr>
        <w:fldChar w:fldCharType="begin">
          <w:ffData>
            <w:name w:val="c3"/>
            <w:enabled/>
            <w:calcOnExit w:val="0"/>
            <w:textInput>
              <w:default w:val="36"/>
              <w:maxLength w:val="2"/>
            </w:textInput>
          </w:ffData>
        </w:fldChar>
      </w:r>
      <w:r>
        <w:rPr>
          <w:rFonts w:ascii="Times New Roman" w:hAnsi="Times New Roman" w:eastAsia="宋体" w:cs="Times New Roman"/>
          <w:b/>
          <w:w w:val="130"/>
          <w:kern w:val="0"/>
          <w:sz w:val="96"/>
          <w:szCs w:val="96"/>
          <w:lang w:val="en-US" w:eastAsia="zh-CN" w:bidi="ar-SA"/>
        </w:rPr>
        <w:instrText xml:space="preserve">FORMTEXT</w:instrText>
      </w:r>
      <w:r>
        <w:rPr>
          <w:rFonts w:ascii="Times New Roman" w:hAnsi="Times New Roman" w:eastAsia="宋体" w:cs="Times New Roman"/>
          <w:b/>
          <w:w w:val="130"/>
          <w:kern w:val="0"/>
          <w:sz w:val="96"/>
          <w:szCs w:val="96"/>
          <w:lang w:val="en-US" w:eastAsia="zh-CN" w:bidi="ar-SA"/>
        </w:rPr>
        <w:fldChar w:fldCharType="separate"/>
      </w:r>
      <w:r>
        <w:rPr>
          <w:rFonts w:ascii="Times New Roman" w:hAnsi="Times New Roman" w:eastAsia="宋体" w:cs="Times New Roman"/>
          <w:b/>
          <w:w w:val="130"/>
          <w:kern w:val="0"/>
          <w:sz w:val="96"/>
          <w:szCs w:val="96"/>
          <w:lang w:val="en-US" w:eastAsia="zh-CN" w:bidi="ar-SA"/>
        </w:rPr>
        <w:t>36</w:t>
      </w:r>
      <w:r>
        <w:rPr>
          <w:rFonts w:ascii="Times New Roman" w:hAnsi="Times New Roman" w:eastAsia="宋体" w:cs="Times New Roman"/>
          <w:b/>
          <w:w w:val="130"/>
          <w:kern w:val="0"/>
          <w:sz w:val="96"/>
          <w:szCs w:val="96"/>
          <w:lang w:val="en-US" w:eastAsia="zh-CN" w:bidi="ar-SA"/>
        </w:rPr>
        <w:fldChar w:fldCharType="end"/>
      </w:r>
      <w:bookmarkEnd w:id="3"/>
    </w:p>
    <w:p w14:paraId="280132D5">
      <w:pPr>
        <w:pStyle w:val="11"/>
      </w:pPr>
      <w:r>
        <w:rPr>
          <w:rFonts w:hint="eastAsia"/>
        </w:rPr>
        <w:t>江西省地方标准</w:t>
      </w:r>
    </w:p>
    <w:p w14:paraId="449D39A8">
      <w:pPr>
        <w:pStyle w:val="12"/>
        <w:rPr>
          <w:rFonts w:hAnsi="黑体"/>
        </w:rPr>
      </w:pPr>
      <w:r>
        <w:rPr>
          <w:rFonts w:hint="eastAsia" w:ascii="Times New Roman"/>
        </w:rPr>
        <w:t>DB</w:t>
      </w:r>
      <w:bookmarkStart w:id="4" w:name="StdNo1"/>
      <w:r>
        <w:rPr>
          <w:rFonts w:hint="eastAsia" w:ascii="黑体" w:hAnsi="黑体" w:eastAsia="黑体" w:cs="Times New Roman"/>
          <w:sz w:val="28"/>
          <w:szCs w:val="28"/>
          <w:lang w:val="en-US" w:eastAsia="zh-CN" w:bidi="ar-SA"/>
        </w:rPr>
        <w:fldChar w:fldCharType="begin">
          <w:ffData>
            <w:name w:val="StdNo1"/>
            <w:enabled/>
            <w:calcOnExit w:val="0"/>
            <w:textInput>
              <w:default w:val="36XXX"/>
            </w:textInput>
          </w:ffData>
        </w:fldChar>
      </w:r>
      <w:r>
        <w:rPr>
          <w:rFonts w:hint="eastAsia" w:ascii="黑体" w:hAnsi="黑体" w:eastAsia="黑体" w:cs="Times New Roman"/>
          <w:sz w:val="28"/>
          <w:szCs w:val="28"/>
          <w:lang w:val="en-US" w:eastAsia="zh-CN" w:bidi="ar-SA"/>
        </w:rPr>
        <w:instrText xml:space="preserve">FORMTEXT</w:instrText>
      </w:r>
      <w:r>
        <w:rPr>
          <w:rFonts w:hint="eastAsia" w:ascii="黑体" w:hAnsi="黑体" w:eastAsia="黑体" w:cs="Times New Roman"/>
          <w:sz w:val="28"/>
          <w:szCs w:val="28"/>
          <w:lang w:val="en-US" w:eastAsia="zh-CN" w:bidi="ar-SA"/>
        </w:rPr>
        <w:fldChar w:fldCharType="separate"/>
      </w:r>
      <w:r>
        <w:rPr>
          <w:rFonts w:hint="eastAsia" w:ascii="黑体" w:hAnsi="黑体" w:eastAsia="黑体" w:cs="Times New Roman"/>
          <w:sz w:val="28"/>
          <w:szCs w:val="28"/>
          <w:lang w:val="en-US" w:eastAsia="zh-CN" w:bidi="ar-SA"/>
        </w:rPr>
        <w:t>36XXX</w:t>
      </w:r>
      <w:r>
        <w:rPr>
          <w:rFonts w:hint="eastAsia" w:ascii="黑体" w:hAnsi="黑体" w:eastAsia="黑体" w:cs="Times New Roman"/>
          <w:sz w:val="28"/>
          <w:szCs w:val="28"/>
          <w:lang w:val="en-US" w:eastAsia="zh-CN" w:bidi="ar-SA"/>
        </w:rPr>
        <w:fldChar w:fldCharType="end"/>
      </w:r>
      <w:bookmarkEnd w:id="4"/>
      <w:r>
        <w:rPr>
          <w:rFonts w:hAnsi="黑体"/>
        </w:rPr>
        <w:t>—</w:t>
      </w:r>
      <w:r>
        <w:rPr>
          <w:rFonts w:hAnsi="黑体"/>
        </w:rPr>
        <w:fldChar w:fldCharType="begin">
          <w:ffData>
            <w:name w:val="StdNo2"/>
            <w:enabled/>
            <w:calcOnExit w:val="0"/>
            <w:textInput>
              <w:default w:val="XXXX"/>
              <w:maxLength w:val="4"/>
            </w:textInput>
          </w:ffData>
        </w:fldChar>
      </w:r>
      <w:bookmarkStart w:id="5" w:name="StdNo2"/>
      <w:r>
        <w:rPr>
          <w:rFonts w:hAnsi="黑体"/>
        </w:rPr>
        <w:instrText xml:space="preserve"> FORMTEXT </w:instrText>
      </w:r>
      <w:r>
        <w:rPr>
          <w:rFonts w:hAnsi="黑体"/>
        </w:rPr>
        <w:fldChar w:fldCharType="separate"/>
      </w:r>
      <w:r>
        <w:rPr>
          <w:rFonts w:hAnsi="黑体"/>
        </w:rPr>
        <w:t>XXXX</w:t>
      </w:r>
      <w:r>
        <w:rPr>
          <w:rFonts w:hAnsi="黑体"/>
        </w:rPr>
        <w:fldChar w:fldCharType="end"/>
      </w:r>
      <w:bookmarkEnd w:id="5"/>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41E0C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14:paraId="2C39E383">
            <w:pPr>
              <w:pStyle w:val="13"/>
            </w:pPr>
            <w:bookmarkStart w:id="6" w:name="DT"/>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6"/>
          </w:p>
        </w:tc>
      </w:tr>
    </w:tbl>
    <w:p w14:paraId="5C18CFFB">
      <w:pPr>
        <w:pStyle w:val="12"/>
        <w:rPr>
          <w:rFonts w:hAnsi="黑体"/>
        </w:rPr>
      </w:pPr>
    </w:p>
    <w:p w14:paraId="2286ED16">
      <w:pPr>
        <w:pStyle w:val="12"/>
        <w:rPr>
          <w:rFonts w:hAnsi="黑体"/>
        </w:rPr>
      </w:pPr>
    </w:p>
    <w:p w14:paraId="708EE643">
      <w:pPr>
        <w:pStyle w:val="14"/>
      </w:pPr>
      <w:bookmarkStart w:id="7" w:name="StdName"/>
      <w:r>
        <w:rPr>
          <w:rFonts w:hint="eastAsia" w:ascii="黑体" w:hAnsi="Times New Roman" w:eastAsia="黑体" w:cs="Times New Roman"/>
          <w:sz w:val="52"/>
          <w:lang w:val="en-US" w:eastAsia="zh-CN" w:bidi="ar-SA"/>
        </w:rPr>
        <w:fldChar w:fldCharType="begin">
          <w:ffData>
            <w:name w:val="StdName"/>
            <w:enabled/>
            <w:calcOnExit w:val="0"/>
            <w:textInput>
              <w:default w:val="固体废物 铀、钍的测定&#13;&#10;电感耦合等离子体质谱法"/>
            </w:textInput>
          </w:ffData>
        </w:fldChar>
      </w:r>
      <w:r>
        <w:rPr>
          <w:rFonts w:hint="eastAsia" w:ascii="黑体" w:hAnsi="Times New Roman" w:eastAsia="黑体" w:cs="Times New Roman"/>
          <w:sz w:val="52"/>
          <w:lang w:val="en-US" w:eastAsia="zh-CN" w:bidi="ar-SA"/>
        </w:rPr>
        <w:instrText xml:space="preserve">FORMTEXT</w:instrText>
      </w:r>
      <w:r>
        <w:rPr>
          <w:rFonts w:hint="eastAsia" w:ascii="黑体" w:hAnsi="Times New Roman" w:eastAsia="黑体" w:cs="Times New Roman"/>
          <w:sz w:val="52"/>
          <w:lang w:val="en-US" w:eastAsia="zh-CN" w:bidi="ar-SA"/>
        </w:rPr>
        <w:fldChar w:fldCharType="separate"/>
      </w:r>
      <w:r>
        <w:rPr>
          <w:rFonts w:hint="eastAsia" w:ascii="黑体" w:hAnsi="Times New Roman" w:eastAsia="黑体" w:cs="Times New Roman"/>
          <w:sz w:val="52"/>
          <w:lang w:val="en-US" w:eastAsia="zh-CN" w:bidi="ar-SA"/>
        </w:rPr>
        <w:t>固体废物 铀、钍的测定</w:t>
      </w:r>
      <w:r>
        <w:rPr>
          <w:rFonts w:hint="eastAsia" w:ascii="黑体" w:hAnsi="Times New Roman" w:eastAsia="黑体" w:cs="Times New Roman"/>
          <w:sz w:val="52"/>
          <w:lang w:val="en-US" w:eastAsia="zh-CN" w:bidi="ar-SA"/>
        </w:rPr>
        <w:cr/>
      </w:r>
      <w:r>
        <w:rPr>
          <w:rFonts w:hint="eastAsia" w:ascii="黑体" w:hAnsi="Times New Roman" w:eastAsia="黑体" w:cs="Times New Roman"/>
          <w:sz w:val="52"/>
          <w:lang w:val="en-US" w:eastAsia="zh-CN" w:bidi="ar-SA"/>
        </w:rPr>
        <w:t>
电感耦合等离子体质谱法</w:t>
      </w:r>
      <w:r>
        <w:rPr>
          <w:rFonts w:hint="eastAsia" w:ascii="黑体" w:hAnsi="Times New Roman" w:eastAsia="黑体" w:cs="Times New Roman"/>
          <w:sz w:val="52"/>
          <w:lang w:val="en-US" w:eastAsia="zh-CN" w:bidi="ar-SA"/>
        </w:rPr>
        <w:fldChar w:fldCharType="end"/>
      </w:r>
      <w:bookmarkEnd w:id="7"/>
    </w:p>
    <w:p w14:paraId="4CED01DE">
      <w:pPr>
        <w:pStyle w:val="15"/>
      </w:pPr>
      <w:bookmarkStart w:id="8" w:name="StdEnglishName"/>
      <w:r>
        <w:rPr>
          <w:rFonts w:hint="default" w:ascii="Times New Roman" w:hAnsi="Times New Roman" w:eastAsia="黑体" w:cs="Times New Roman"/>
          <w:sz w:val="28"/>
          <w:szCs w:val="28"/>
          <w:lang w:val="en-US" w:eastAsia="zh-CN" w:bidi="ar-SA"/>
        </w:rPr>
        <w:fldChar w:fldCharType="begin">
          <w:ffData>
            <w:name w:val="StdEnglishName"/>
            <w:enabled/>
            <w:calcOnExit w:val="0"/>
            <w:textInput>
              <w:default w:val="Determination of uranium and thorium&#13;&#10;Inductively coupled plasma mass spectrometry"/>
            </w:textInput>
          </w:ffData>
        </w:fldChar>
      </w:r>
      <w:r>
        <w:rPr>
          <w:rFonts w:hint="default" w:ascii="Times New Roman" w:hAnsi="Times New Roman" w:eastAsia="黑体" w:cs="Times New Roman"/>
          <w:sz w:val="28"/>
          <w:szCs w:val="28"/>
          <w:lang w:val="en-US" w:eastAsia="zh-CN" w:bidi="ar-SA"/>
        </w:rPr>
        <w:instrText xml:space="preserve">FORMTEXT</w:instrText>
      </w:r>
      <w:r>
        <w:rPr>
          <w:rFonts w:hint="default" w:ascii="Times New Roman" w:hAnsi="Times New Roman" w:eastAsia="黑体" w:cs="Times New Roman"/>
          <w:sz w:val="28"/>
          <w:szCs w:val="28"/>
          <w:lang w:val="en-US" w:eastAsia="zh-CN" w:bidi="ar-SA"/>
        </w:rPr>
        <w:fldChar w:fldCharType="separate"/>
      </w:r>
      <w:r>
        <w:rPr>
          <w:rFonts w:hint="default" w:ascii="Times New Roman" w:hAnsi="Times New Roman" w:eastAsia="黑体" w:cs="Times New Roman"/>
          <w:sz w:val="28"/>
          <w:szCs w:val="28"/>
          <w:lang w:val="en-US" w:eastAsia="zh-CN" w:bidi="ar-SA"/>
        </w:rPr>
        <w:t>Determination of uranium and thorium</w:t>
      </w:r>
      <w:r>
        <w:rPr>
          <w:rFonts w:hint="default" w:ascii="Times New Roman" w:hAnsi="Times New Roman" w:eastAsia="黑体" w:cs="Times New Roman"/>
          <w:sz w:val="28"/>
          <w:szCs w:val="28"/>
          <w:lang w:val="en-US" w:eastAsia="zh-CN" w:bidi="ar-SA"/>
        </w:rPr>
        <w:cr/>
      </w:r>
      <w:r>
        <w:rPr>
          <w:rFonts w:hint="default" w:ascii="Times New Roman" w:hAnsi="Times New Roman" w:eastAsia="黑体" w:cs="Times New Roman"/>
          <w:sz w:val="28"/>
          <w:szCs w:val="28"/>
          <w:lang w:val="en-US" w:eastAsia="zh-CN" w:bidi="ar-SA"/>
        </w:rPr>
        <w:t>
Inductively coupled plasma mass spectrometry</w:t>
      </w:r>
      <w:r>
        <w:rPr>
          <w:rFonts w:hint="default" w:ascii="Times New Roman" w:hAnsi="Times New Roman" w:eastAsia="黑体" w:cs="Times New Roman"/>
          <w:sz w:val="28"/>
          <w:szCs w:val="28"/>
          <w:lang w:val="en-US" w:eastAsia="zh-CN" w:bidi="ar-SA"/>
        </w:rPr>
        <w:fldChar w:fldCharType="end"/>
      </w:r>
      <w:bookmarkEnd w:id="8"/>
    </w:p>
    <w:p w14:paraId="7C677F51">
      <w:pPr>
        <w:pStyle w:val="16"/>
      </w:pP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2F6DA8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69B24E3D">
            <w:pPr>
              <w:pStyle w:val="17"/>
            </w:pPr>
            <w:r>
              <mc:AlternateContent>
                <mc:Choice Requires="wps">
                  <w:drawing>
                    <wp:anchor distT="0" distB="0" distL="114300" distR="114300" simplePos="0" relativeHeight="251659264" behindDoc="1" locked="1" layoutInCell="1" allowOverlap="1">
                      <wp:simplePos x="0" y="0"/>
                      <wp:positionH relativeFrom="column">
                        <wp:posOffset>2200910</wp:posOffset>
                      </wp:positionH>
                      <wp:positionV relativeFrom="paragraph">
                        <wp:posOffset>4281805</wp:posOffset>
                      </wp:positionV>
                      <wp:extent cx="1905000" cy="254000"/>
                      <wp:effectExtent l="0" t="0" r="0" b="12700"/>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73.3pt;margin-top:337.15pt;height:20pt;width:150pt;z-index:-251657216;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AmifcqGwIAADQEAAAOAAAAZHJzL2Uyb0RvYy54bWytU8GO&#10;0zAQvSPxD5bvNEnVAhs1Xa1aFSEtsNLCB7iOk1gkHjN2m5afQeLGR+znIH6DsZOWslz2QA7RjGf8&#10;Zt6b8eL60LVsr9BpMAXPJilnykgotakL/unj5sVrzpwXphQtGFXwo3L8evn82aK3uZpCA22pkBGI&#10;cXlvC954b/MkcbJRnXATsMpQsALshCcX66RE0RN61ybTNH2Z9IClRZDKOTpdD0E+IuJTAKGqtFRr&#10;kLtOGT+gomqFJ0qu0dbxZey2qpT0H6rKKc/aghNTH/9UhOxt+CfLhchrFLbRcmxBPKWFR5w6oQ0V&#10;PUOthRdsh/ofqE5LBAeVn0jokoFIVIRYZOkjbe4bYVXkQlI7exbd/T9Y+X5/h0yXBZ9yZkRHA//1&#10;7cfPh+9sGrTprcsp5d7eYWDn7C3Iz44ZWDXC1OoGEfpGiZI6ykJ+8teF4Di6yrb9OygJWuw8RJkO&#10;FXYBkARghziN43ka6uCZpMPsKp2nKQ1KUmw6nwU7lBD56bZF598o6FgwCo407Ygu9rfOD6mnlNg9&#10;tLrc6LaNDtbbVYtsL2gzNvEb0d1lWmtCsoFwbUAcTlTcrbHMieeg1xbKI3FGGJaNnhoZDeBXznpa&#10;tIK7LzuBirP2rSHdrrLZLGxmdGbzV1Ny8DKyvYwIIwmq4J6zwVz5YZt3FnXdUKUsSmDghrSudJQh&#10;9Dd0NU6IlikKOS5+2NZLP2b9eezL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N/X9+DXAAAACwEA&#10;AA8AAAAAAAAAAQAgAAAAIgAAAGRycy9kb3ducmV2LnhtbFBLAQIUABQAAAAIAIdO4kAmifcqGwIA&#10;ADQEAAAOAAAAAAAAAAEAIAAAACYBAABkcnMvZTJvRG9jLnhtbFBLBQYAAAAABgAGAFkBAACzBQAA&#10;AAA=&#10;">
                      <v:fill on="t" focussize="0,0"/>
                      <v:stroke on="f"/>
                      <v:imagedata o:title=""/>
                      <o:lock v:ext="edit" aspectratio="f"/>
                      <w10:anchorlock/>
                    </v:rect>
                  </w:pict>
                </mc:Fallback>
              </mc:AlternateContent>
            </w:r>
          </w:p>
        </w:tc>
      </w:tr>
      <w:tr w14:paraId="75512B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67D43215">
            <w:pPr>
              <w:pStyle w:val="18"/>
            </w:pPr>
            <w:bookmarkStart w:id="9" w:name="WCRQ"/>
            <w:r>
              <w:rPr>
                <w:rFonts w:ascii="宋体" w:hAnsi="Times New Roman" w:eastAsia="宋体" w:cs="Times New Roman"/>
                <w:sz w:val="21"/>
                <w:szCs w:val="28"/>
                <w:lang w:val="en-US" w:eastAsia="zh-CN" w:bidi="ar-SA"/>
              </w:rPr>
              <w:fldChar w:fldCharType="begin">
                <w:ffData>
                  <w:name w:val="WCRQ"/>
                  <w:enabled/>
                  <w:calcOnExit w:val="0"/>
                  <w:textInput>
                    <w:default w:val="送审稿"/>
                  </w:textInput>
                </w:ffData>
              </w:fldChar>
            </w:r>
            <w:r>
              <w:rPr>
                <w:rFonts w:ascii="宋体" w:hAnsi="Times New Roman" w:eastAsia="宋体" w:cs="Times New Roman"/>
                <w:sz w:val="21"/>
                <w:szCs w:val="28"/>
                <w:lang w:val="en-US" w:eastAsia="zh-CN" w:bidi="ar-SA"/>
              </w:rPr>
              <w:instrText xml:space="preserve">FORMTEXT</w:instrText>
            </w:r>
            <w:r>
              <w:rPr>
                <w:rFonts w:ascii="宋体" w:hAnsi="Times New Roman" w:eastAsia="宋体" w:cs="Times New Roman"/>
                <w:sz w:val="21"/>
                <w:szCs w:val="28"/>
                <w:lang w:val="en-US" w:eastAsia="zh-CN" w:bidi="ar-SA"/>
              </w:rPr>
              <w:fldChar w:fldCharType="separate"/>
            </w:r>
            <w:r>
              <w:rPr>
                <w:rFonts w:ascii="宋体" w:hAnsi="Times New Roman" w:eastAsia="宋体" w:cs="Times New Roman"/>
                <w:sz w:val="21"/>
                <w:szCs w:val="28"/>
                <w:lang w:val="en-US" w:eastAsia="zh-CN" w:bidi="ar-SA"/>
              </w:rPr>
              <w:t>送审稿</w:t>
            </w:r>
            <w:r>
              <w:rPr>
                <w:rFonts w:ascii="宋体" w:hAnsi="Times New Roman" w:eastAsia="宋体" w:cs="Times New Roman"/>
                <w:sz w:val="21"/>
                <w:szCs w:val="28"/>
                <w:lang w:val="en-US" w:eastAsia="zh-CN" w:bidi="ar-SA"/>
              </w:rPr>
              <w:fldChar w:fldCharType="end"/>
            </w:r>
            <w:bookmarkEnd w:id="9"/>
          </w:p>
        </w:tc>
      </w:tr>
    </w:tbl>
    <w:p w14:paraId="4FB20BB0">
      <w:pPr>
        <w:pStyle w:val="19"/>
        <w:framePr w:vAnchor="page" w:hAnchor="page" w:x="1312" w:y="14063"/>
        <w:rPr>
          <w:rFonts w:ascii="黑体"/>
        </w:rPr>
      </w:pPr>
      <w:r>
        <w:rPr>
          <w:rFonts w:hint="eastAsia" w:ascii="黑体"/>
        </w:rPr>
        <w:t>20</w:t>
      </w:r>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 xml:space="preserve">- </w:t>
      </w:r>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 xml:space="preserve"> - </w:t>
      </w:r>
      <w:bookmarkStart w:id="10"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ascii="黑体"/>
        </w:rPr>
        <w:t>发布</w:t>
      </w:r>
      <w: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H7YG/roAQAAuAMAAA4AAABkcnMvZTJvRG9jLnhtbK1TsY4T&#10;MRDtkfgHyz3ZJOgiWGVzRaKjOSDSHR/geL1ZC9tjeZzs5if4ASQ6qCjp+Zs7PoOxNwnH0VzBFpbH&#10;M/Nm3pvZ+WVvDdurgBpcxSejMWfKSai121b8w+3Vi1ecYRSuFgacqvhBIb9cPH8273ypptCCqVVg&#10;BOKw7HzF2xh9WRQoW2UFjsArR84GghWRzLAt6iA6QremmI7Hs6KDUPsAUiHS62pw8iNieAogNI2W&#10;agVyZ5WLA2pQRkSihK32yBe526ZRMr5vGlSRmYoT05hPKkL3TTqLxVyU2yB8q+WxBfGUFh5xskI7&#10;KnqGWoko2C7of6CslgEQmjiSYIuBSFaEWEzGj7S5aYVXmQtJjf4sOv4/WPluvw5M1xWfceaEpYHf&#10;f/5x9+nrr59f6Lz//o3Nkkidx5Jil24dEk3Zuxt/DfIjMgfLVritys3eHjwhTFJG8VdKMtBTqU33&#10;FmqKEbsIWbG+CTZBkhasz4M5nAej+sgkPc4mpM5Lmpk8+QpRnhJ9wPhGgWXpUnGjXdJMlGJ/jTE1&#10;IspTSHp2cKWNyXM3jnUVf30xvcgJCEbXyZnCMGw3SxPYXqTNyV9mRZ6HYQF2rh6KGJfyVF66Y+UT&#10;60G/DdSHdThJQwPNvR2XL23MQzsL+OeHW/w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JYdrPNYA&#10;AAALAQAADwAAAAAAAAABACAAAAAiAAAAZHJzL2Rvd25yZXYueG1sUEsBAhQAFAAAAAgAh07iQH7Y&#10;G/roAQAAuAMAAA4AAAAAAAAAAQAgAAAAJQEAAGRycy9lMm9Eb2MueG1sUEsFBgAAAAAGAAYAWQEA&#10;AH8FAAAAAA==&#10;">
                <v:fill on="f" focussize="0,0"/>
                <v:stroke color="#000000" joinstyle="round"/>
                <v:imagedata o:title=""/>
                <o:lock v:ext="edit" aspectratio="f"/>
                <w10:anchorlock/>
              </v:line>
            </w:pict>
          </mc:Fallback>
        </mc:AlternateContent>
      </w:r>
    </w:p>
    <w:p w14:paraId="48A9B68F">
      <w:pPr>
        <w:pStyle w:val="21"/>
        <w:framePr w:vAnchor="page" w:hAnchor="page" w:x="6917" w:y="14051"/>
      </w:pPr>
      <w:r>
        <w:rPr>
          <w:rFonts w:hint="eastAsia" w:ascii="黑体"/>
        </w:rPr>
        <w:t>20</w:t>
      </w:r>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 xml:space="preserve">- </w:t>
      </w:r>
      <w:bookmarkStart w:id="11"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ascii="黑体"/>
        </w:rPr>
        <w:t xml:space="preserve"> - </w:t>
      </w:r>
      <w:bookmarkStart w:id="12"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实施</w:t>
      </w:r>
    </w:p>
    <w:p w14:paraId="3E82BAD1">
      <w:pPr>
        <w:pStyle w:val="23"/>
      </w:pPr>
      <w:bookmarkStart w:id="13" w:name="fm"/>
      <w:r>
        <mc:AlternateContent>
          <mc:Choice Requires="wps">
            <w:drawing>
              <wp:anchor distT="0" distB="0" distL="114300" distR="114300" simplePos="0" relativeHeight="251662336"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42.55pt;margin-top:-310.45pt;height:24pt;width:100pt;z-index:-251654144;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E0oFwUbAgAANAQAAA4AAABkcnMvZTJvRG9jLnhtbK1T&#10;wY7TMBC9I/EPlu80SQnsEjVdrVoVIS2w0sIHuI6TWCQeM3abLj+DxI2P4HMQv8HYSUtZLnsgh2jG&#10;M34z8+Z5cXXoO7ZX6DSYkmezlDNlJFTaNCX/+GHz7JIz54WpRAdGlfxeOX61fPpkMdhCzaGFrlLI&#10;CMS4YrAlb723RZI42apeuBlYZShYA/bCk4tNUqEYCL3vknmavkwGwMoiSOUcna7HIJ8Q8TGAUNda&#10;qjXIXa+MH1FRdcLTSK7V1vFl7LaulfTv69opz7qS06Q+/qkI2dvwT5YLUTQobKvl1IJ4TAsPZuqF&#10;NlT0BLUWXrAd6n+gei0RHNR+JqFPxkEiIzRFlj7g5q4VVsVZiGpnT6S7/wcr3+1vkemq5DlnRvS0&#10;8F9fv//88Y3lgZvBuoJS7uwthumcvQH5yTEDq1aYRl0jwtAqUVFHWchP/roQHEdX2XZ4CxVBi52H&#10;SNOhxj4AEgHsELdxf9qGOngm6TCbX6T0cSYp9jzNL8kOJURxvG3R+dcKehaMkiNtO6KL/Y3zY+ox&#10;JXYPna42uuuig8121SHbC1LGJn4TujtP60xINhCujYjjiYramsoc5xz52kJ1TzMjjGKjp0ZGC/iF&#10;s4GEVnL3eSdQcda9McTbqyzPgzKjk7+4mJOD55HteUQYSVAl95yN5sqPat5Z1E1LlbJIgYFr4rrW&#10;kYbQ39jVtCESUyRyEn5Q67kfs/489u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bXu1tkAAAAN&#10;AQAADwAAAAAAAAABACAAAAAiAAAAZHJzL2Rvd25yZXYueG1sUEsBAhQAFAAAAAgAh07iQE0oFwUb&#10;AgAANAQAAA4AAAAAAAAAAQAgAAAAKAEAAGRycy9lMm9Eb2MueG1sUEsFBgAAAAAGAAYAWQEAALUF&#10;AAAAAA==&#10;">
                <v:fill on="t" focussize="0,0"/>
                <v:stroke on="f"/>
                <v:imagedata o:title=""/>
                <o:lock v:ext="edit" aspectratio="f"/>
              </v:rect>
            </w:pict>
          </mc:Fallback>
        </mc:AlternateContent>
      </w:r>
      <w:r>
        <mc:AlternateContent>
          <mc:Choice Requires="wps">
            <w:drawing>
              <wp:anchor distT="0" distB="0" distL="114300" distR="114300" simplePos="0" relativeHeight="251661312"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ffectLst/>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47.55pt;margin-top:-585.45pt;height:18pt;width:90pt;z-index:-251655168;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BULXH2HQIAADQEAAAOAAAAZHJzL2Uyb0RvYy54bWyt&#10;U8GO0zAQvSPxD5bvNElplyVqulq1KkJaYKWFD3AdJ7FIPGbsNl1+BonbfgSfg/gNxk5aynLZAzlE&#10;M57xm3lvxourQ9eyvUKnwRQ8m6ScKSOh1KYu+KePmxeXnDkvTClaMKrg98rxq+XzZ4ve5moKDbSl&#10;QkYgxuW9LXjjvc2TxMlGdcJNwCpDwQqwE55crJMSRU/oXZtM0/Qi6QFLiyCVc3S6HoJ8RMSnAEJV&#10;aanWIHedMn5ARdUKT5Rco63jy9htVSnpP1SVU561BSemPv6pCNnb8E+WC5HXKGyj5diCeEoLjzh1&#10;QhsqeoJaCy/YDvU/UJ2WCA4qP5HQJQORqAixyNJH2tw1wqrIhaR29iS6+3+w8v3+FpkuCz7nzIiO&#10;Bv7r28PPH9/ZPGjTW5dTyp29xcDO2RuQnx0zsGqEqdU1IvSNEiV1lIX85K8LwXF0lW37d1AStNh5&#10;iDIdKuwCIAnADnEa96dpqINnkg6zbPYyTWlQkmLT6eUF2aGEyI+3LTr/RkHHglFwpGlHdLG/cX5I&#10;PabE7qHV5Ua3bXSw3q5aZHtBm7GJ34juztNaE5INhGsD4nCi4m6NZY48B722UN4TZ4Rh2eipkdEA&#10;fuWsp0UruPuyE6g4a98a0u11NpuFzYzObP5qSg6eR7bnEWEkQRXcczaYKz9s886irhuqlEUJDFyT&#10;1pWOMoT+hq7GCdEyRSHHxQ/beu7HrD+Pffk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38mKEdoA&#10;AAAPAQAADwAAAAAAAAABACAAAAAiAAAAZHJzL2Rvd25yZXYueG1sUEsBAhQAFAAAAAgAh07iQFQt&#10;cfYdAgAANAQAAA4AAAAAAAAAAQAgAAAAKQEAAGRycy9lMm9Eb2MueG1sUEsFBgAAAAAGAAYAWQEA&#10;ALgFAAAAAA==&#10;">
                <v:fill on="t" focussize="0,0"/>
                <v:stroke on="f"/>
                <v:imagedata o:title=""/>
                <o:lock v:ext="edit" aspectratio="f"/>
              </v:rect>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-464820</wp:posOffset>
                </wp:positionH>
                <wp:positionV relativeFrom="paragraph">
                  <wp:posOffset>-7021195</wp:posOffset>
                </wp:positionV>
                <wp:extent cx="6120130" cy="0"/>
                <wp:effectExtent l="0" t="4445" r="0" b="508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36.6pt;margin-top:-552.85pt;height:0pt;width:481.9pt;z-index:251664384;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AaG9degBAAC4AwAADgAAAGRycy9lMm9Eb2MueG1srVPN&#10;jtMwEL4j8Q6W7zT90a4garqHVstlgUq7PMDUcRIL22PZbtO+BC+AxA1OHLnzNiyPwdhtyrJc9kAO&#10;lscz881830zmV3uj2U76oNBWfDIacyatwFrZtuLv765fvOQsRLA1aLSy4gcZ+NXi+bN570o5xQ51&#10;LT0jEBvK3lW8i9GVRRFEJw2EETppydmgNxDJ9G1Re+gJ3ehiOh5fFj362nkUMgR6XR2d/ITonwKI&#10;TaOEXKHYGmnjEdVLDZEohU65wBe526aRIr5rmiAj0xUnpjGfVITum3QWizmUrQfXKXFqAZ7SwiNO&#10;BpSlomeoFURgW6/+gTJKeAzYxJFAUxyJZEWIxWT8SJvbDpzMXEjq4M6ih/8HK97u1p6puuIzziwY&#10;Gvj9p+8/P3759eMznfffvrJZEql3oaTYpV37RFPs7a27QfEhMIvLDmwrc7N3B0cIk5RR/JWSjOCo&#10;1KZ/gzXFwDZiVmzfeJMgSQu2z4M5nAcj95EJeryckDozmpkYfAWUQ6LzIb6WaFi6VFwrmzSDEnY3&#10;IaZGoBxC0rPFa6V1nru2rK/4q4vpRU4IqFWdnCks+Haz1J7tIG1O/jIr8jwM87i19bGItilP5qU7&#10;VR5YH/XbYH1Y+0EaGmju7bR8aWMe2lnAPz/c4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7JZGg&#10;2AAAAA8BAAAPAAAAAAAAAAEAIAAAACIAAABkcnMvZG93bnJldi54bWxQSwECFAAUAAAACACHTuJA&#10;AaG9degBAAC4AwAADgAAAAAAAAABACAAAAAnAQAAZHJzL2Uyb0RvYy54bWxQSwUGAAAAAAYABgBZ&#10;AQAAgQUAAAAA&#10;">
                <v:fill on="f" focussize="0,0"/>
                <v:stroke color="#000000" joinstyle="round"/>
                <v:imagedata o:title=""/>
                <o:lock v:ext="edit" aspectratio="f"/>
              </v:line>
            </w:pict>
          </mc:Fallback>
        </mc:AlternateContent>
      </w:r>
      <w:bookmarkEnd w:id="13"/>
      <w:r>
        <w:rPr>
          <w:rStyle w:val="26"/>
          <w:rFonts w:hint="eastAsia"/>
          <w:lang w:eastAsia="zh-CN"/>
        </w:rPr>
        <w:t>江西省市场监督管理局</w:t>
      </w:r>
      <w:r>
        <w:rPr>
          <w:rStyle w:val="26"/>
          <w:rFonts w:hint="eastAsia"/>
          <w:lang w:val="en-US" w:eastAsia="zh-CN"/>
        </w:rPr>
        <w:t xml:space="preserve">  </w:t>
      </w:r>
      <w:r>
        <w:rPr>
          <w:rStyle w:val="26"/>
          <w:rFonts w:hint="eastAsia"/>
        </w:rPr>
        <w:t>发布</w:t>
      </w:r>
    </w:p>
    <w:p w14:paraId="4DE37101">
      <w:pPr>
        <w:pStyle w:val="25"/>
        <w:sectPr>
          <w:headerReference r:id="rId4" w:type="first"/>
          <w:footerReference r:id="rId6" w:type="first"/>
          <w:headerReference r:id="rId3" w:type="even"/>
          <w:footerReference r:id="rId5" w:type="even"/>
          <w:pgSz w:w="11906" w:h="16838"/>
          <w:pgMar w:top="567" w:right="1134" w:bottom="1134" w:left="1417" w:header="0" w:footer="0" w:gutter="0"/>
          <w:pgBorders>
            <w:top w:val="none" w:sz="0" w:space="0"/>
            <w:left w:val="none" w:sz="0" w:space="0"/>
            <w:bottom w:val="none" w:sz="0" w:space="0"/>
            <w:right w:val="none" w:sz="0" w:space="0"/>
          </w:pgBorders>
          <w:pgNumType w:start="1"/>
          <w:cols w:space="720" w:num="1"/>
          <w:docGrid w:type="lines" w:linePitch="312" w:charSpace="0"/>
        </w:sectPr>
      </w:pPr>
    </w:p>
    <w:p w14:paraId="2178C802">
      <w:pPr>
        <w:pStyle w:val="30"/>
        <w:rPr>
          <w:rFonts w:hint="eastAsia" w:hAnsi="黑体" w:eastAsia="黑体"/>
          <w:lang w:eastAsia="zh-CN"/>
        </w:rPr>
      </w:pPr>
      <w:bookmarkStart w:id="14" w:name="_Toc521918898"/>
      <w:r>
        <w:rPr>
          <w:rFonts w:hint="eastAsia"/>
        </w:rPr>
        <w:t>目</w:t>
      </w:r>
      <w:bookmarkStart w:id="15" w:name="BKML"/>
      <w:r>
        <w:t>  </w:t>
      </w:r>
      <w:bookmarkEnd w:id="15"/>
      <w:r>
        <w:rPr>
          <w:rFonts w:hint="eastAsia"/>
          <w:lang w:eastAsia="zh-CN"/>
        </w:rPr>
        <w:t>次</w:t>
      </w:r>
    </w:p>
    <w:p w14:paraId="08C07452">
      <w:pPr>
        <w:pStyle w:val="4"/>
        <w:spacing w:before="78" w:after="78"/>
        <w:rPr>
          <w:rFonts w:asciiTheme="minorHAnsi" w:hAnsiTheme="minorHAnsi" w:eastAsiaTheme="minorEastAsia" w:cstheme="minorBidi"/>
          <w:szCs w:val="22"/>
        </w:rPr>
      </w:pPr>
      <w:r>
        <w:fldChar w:fldCharType="begin"/>
      </w:r>
      <w:r>
        <w:instrText xml:space="preserve"> TOC \h \z \t"前言、引言标题,1,参考文献、索引标题,1,章标题,1,参考文献,1,附录标识,1" \* MERGEFORMAT  \* MERGEFORMAT </w:instrText>
      </w:r>
      <w:r>
        <w:fldChar w:fldCharType="separate"/>
      </w:r>
      <w:r>
        <w:fldChar w:fldCharType="begin"/>
      </w:r>
      <w:r>
        <w:instrText xml:space="preserve"> HYPERLINK \l "_Toc103189492" </w:instrText>
      </w:r>
      <w:r>
        <w:fldChar w:fldCharType="separate"/>
      </w:r>
      <w:r>
        <w:rPr>
          <w:rStyle w:val="8"/>
        </w:rPr>
        <w:t>前</w:t>
      </w:r>
      <w:r>
        <w:rPr>
          <w:rStyle w:val="8"/>
          <w:rFonts w:hAnsi="黑体"/>
        </w:rPr>
        <w:t>  </w:t>
      </w:r>
      <w:r>
        <w:rPr>
          <w:rStyle w:val="8"/>
        </w:rPr>
        <w:t>言</w:t>
      </w:r>
      <w:r>
        <w:tab/>
      </w:r>
      <w:r>
        <w:fldChar w:fldCharType="begin"/>
      </w:r>
      <w:r>
        <w:instrText xml:space="preserve"> PAGEREF _Toc103189492 \h </w:instrText>
      </w:r>
      <w:r>
        <w:fldChar w:fldCharType="separate"/>
      </w:r>
      <w:r>
        <w:t>II</w:t>
      </w:r>
      <w:r>
        <w:fldChar w:fldCharType="end"/>
      </w:r>
      <w:r>
        <w:fldChar w:fldCharType="end"/>
      </w:r>
    </w:p>
    <w:p w14:paraId="00F36F45">
      <w:pPr>
        <w:pStyle w:val="4"/>
        <w:spacing w:before="78" w:after="78"/>
        <w:rPr>
          <w:rFonts w:asciiTheme="minorHAnsi" w:hAnsiTheme="minorHAnsi" w:eastAsiaTheme="minorEastAsia" w:cstheme="minorBidi"/>
          <w:szCs w:val="22"/>
        </w:rPr>
      </w:pPr>
      <w:r>
        <w:fldChar w:fldCharType="begin"/>
      </w:r>
      <w:r>
        <w:instrText xml:space="preserve"> HYPERLINK \l "_Toc103189493" </w:instrText>
      </w:r>
      <w:r>
        <w:fldChar w:fldCharType="separate"/>
      </w:r>
      <w:r>
        <w:rPr>
          <w:rStyle w:val="8"/>
        </w:rPr>
        <w:t>1 范围</w:t>
      </w:r>
      <w:r>
        <w:tab/>
      </w:r>
      <w:r>
        <w:fldChar w:fldCharType="begin"/>
      </w:r>
      <w:r>
        <w:instrText xml:space="preserve"> PAGEREF _Toc103189493 \h </w:instrText>
      </w:r>
      <w:r>
        <w:fldChar w:fldCharType="separate"/>
      </w:r>
      <w:r>
        <w:t>1</w:t>
      </w:r>
      <w:r>
        <w:fldChar w:fldCharType="end"/>
      </w:r>
      <w:r>
        <w:fldChar w:fldCharType="end"/>
      </w:r>
    </w:p>
    <w:p w14:paraId="5456523B">
      <w:pPr>
        <w:pStyle w:val="4"/>
        <w:spacing w:before="78" w:after="78"/>
      </w:pPr>
      <w:r>
        <w:fldChar w:fldCharType="begin"/>
      </w:r>
      <w:r>
        <w:instrText xml:space="preserve"> HYPERLINK \l "_Toc103189494" </w:instrText>
      </w:r>
      <w:r>
        <w:fldChar w:fldCharType="separate"/>
      </w:r>
      <w:r>
        <w:rPr>
          <w:rStyle w:val="8"/>
        </w:rPr>
        <w:t>2 规范性引用文件</w:t>
      </w:r>
      <w:r>
        <w:tab/>
      </w:r>
      <w:r>
        <w:fldChar w:fldCharType="begin"/>
      </w:r>
      <w:r>
        <w:instrText xml:space="preserve"> PAGEREF _Toc103189494 \h </w:instrText>
      </w:r>
      <w:r>
        <w:fldChar w:fldCharType="separate"/>
      </w:r>
      <w:r>
        <w:t>1</w:t>
      </w:r>
      <w:r>
        <w:fldChar w:fldCharType="end"/>
      </w:r>
      <w:r>
        <w:fldChar w:fldCharType="end"/>
      </w:r>
    </w:p>
    <w:p w14:paraId="2AE0E112">
      <w:pPr>
        <w:pStyle w:val="4"/>
        <w:spacing w:before="78" w:after="78"/>
      </w:pPr>
      <w:r>
        <w:fldChar w:fldCharType="begin"/>
      </w:r>
      <w:r>
        <w:instrText xml:space="preserve"> HYPERLINK \l "_Toc103189494" </w:instrText>
      </w:r>
      <w:r>
        <w:fldChar w:fldCharType="separate"/>
      </w:r>
      <w:r>
        <w:rPr>
          <w:rFonts w:hint="eastAsia"/>
          <w:lang w:val="en-US" w:eastAsia="zh-CN"/>
        </w:rPr>
        <w:t>3</w:t>
      </w:r>
      <w:r>
        <w:rPr>
          <w:rStyle w:val="8"/>
        </w:rPr>
        <w:t xml:space="preserve"> </w:t>
      </w:r>
      <w:r>
        <w:rPr>
          <w:rStyle w:val="8"/>
          <w:rFonts w:hint="eastAsia"/>
          <w:lang w:eastAsia="zh-CN"/>
        </w:rPr>
        <w:t>术语和定义</w:t>
      </w:r>
      <w:r>
        <w:tab/>
      </w:r>
      <w:r>
        <w:fldChar w:fldCharType="begin"/>
      </w:r>
      <w:r>
        <w:instrText xml:space="preserve"> PAGEREF _Toc103189494 \h </w:instrText>
      </w:r>
      <w:r>
        <w:fldChar w:fldCharType="separate"/>
      </w:r>
      <w:r>
        <w:t>1</w:t>
      </w:r>
      <w:r>
        <w:fldChar w:fldCharType="end"/>
      </w:r>
      <w:r>
        <w:fldChar w:fldCharType="end"/>
      </w:r>
    </w:p>
    <w:p w14:paraId="32320318">
      <w:pPr>
        <w:pStyle w:val="4"/>
        <w:spacing w:before="78" w:after="78"/>
      </w:pPr>
      <w:r>
        <w:fldChar w:fldCharType="begin"/>
      </w:r>
      <w:r>
        <w:instrText xml:space="preserve"> HYPERLINK \l "_Toc103189495" </w:instrText>
      </w:r>
      <w:r>
        <w:fldChar w:fldCharType="separate"/>
      </w:r>
      <w:r>
        <w:rPr>
          <w:rFonts w:hint="eastAsia"/>
          <w:lang w:val="en-US" w:eastAsia="zh-CN"/>
        </w:rPr>
        <w:t>4</w:t>
      </w:r>
      <w:r>
        <w:rPr>
          <w:rStyle w:val="8"/>
        </w:rPr>
        <w:t xml:space="preserve"> 方法原理</w:t>
      </w:r>
      <w:r>
        <w:tab/>
      </w:r>
      <w:r>
        <w:rPr>
          <w:rFonts w:hint="eastAsia"/>
          <w:lang w:val="en-US" w:eastAsia="zh-CN"/>
        </w:rPr>
        <w:t>2</w:t>
      </w:r>
      <w:r>
        <w:fldChar w:fldCharType="end"/>
      </w:r>
    </w:p>
    <w:p w14:paraId="76590857">
      <w:pPr>
        <w:pStyle w:val="4"/>
        <w:spacing w:before="78" w:after="78"/>
      </w:pPr>
      <w:r>
        <w:fldChar w:fldCharType="begin"/>
      </w:r>
      <w:r>
        <w:instrText xml:space="preserve"> HYPERLINK \l "_Toc103189495" </w:instrText>
      </w:r>
      <w:r>
        <w:fldChar w:fldCharType="separate"/>
      </w:r>
      <w:r>
        <w:rPr>
          <w:rFonts w:hint="eastAsia"/>
          <w:lang w:val="en-US" w:eastAsia="zh-CN"/>
        </w:rPr>
        <w:t>5</w:t>
      </w:r>
      <w:r>
        <w:rPr>
          <w:rFonts w:hint="eastAsia"/>
        </w:rPr>
        <w:t>干扰和消除</w:t>
      </w:r>
      <w:r>
        <w:tab/>
      </w:r>
      <w:r>
        <w:rPr>
          <w:rFonts w:hint="eastAsia"/>
          <w:lang w:val="en-US" w:eastAsia="zh-CN"/>
        </w:rPr>
        <w:t>2</w:t>
      </w:r>
      <w:r>
        <w:fldChar w:fldCharType="end"/>
      </w:r>
    </w:p>
    <w:p w14:paraId="2E719DC5">
      <w:pPr>
        <w:pStyle w:val="4"/>
        <w:spacing w:before="78" w:after="78"/>
        <w:rPr>
          <w:rFonts w:asciiTheme="minorHAnsi" w:hAnsiTheme="minorHAnsi" w:eastAsiaTheme="minorEastAsia" w:cstheme="minorBidi"/>
          <w:szCs w:val="22"/>
        </w:rPr>
      </w:pPr>
      <w:r>
        <w:fldChar w:fldCharType="begin"/>
      </w:r>
      <w:r>
        <w:instrText xml:space="preserve"> HYPERLINK \l "_Toc103189496" </w:instrText>
      </w:r>
      <w:r>
        <w:fldChar w:fldCharType="separate"/>
      </w:r>
      <w:r>
        <w:rPr>
          <w:rFonts w:hint="eastAsia"/>
          <w:lang w:val="en-US" w:eastAsia="zh-CN"/>
        </w:rPr>
        <w:t>6</w:t>
      </w:r>
      <w:r>
        <w:rPr>
          <w:rStyle w:val="8"/>
        </w:rPr>
        <w:t>试剂</w:t>
      </w:r>
      <w:r>
        <w:rPr>
          <w:rStyle w:val="8"/>
          <w:rFonts w:hint="eastAsia"/>
          <w:lang w:eastAsia="zh-CN"/>
        </w:rPr>
        <w:t>和</w:t>
      </w:r>
      <w:r>
        <w:rPr>
          <w:rStyle w:val="8"/>
        </w:rPr>
        <w:t>材料</w:t>
      </w:r>
      <w:r>
        <w:tab/>
      </w:r>
      <w:r>
        <w:fldChar w:fldCharType="begin"/>
      </w:r>
      <w:r>
        <w:instrText xml:space="preserve"> PAGEREF _Toc103189496 \h </w:instrText>
      </w:r>
      <w:r>
        <w:fldChar w:fldCharType="separate"/>
      </w:r>
      <w:r>
        <w:t>2</w:t>
      </w:r>
      <w:r>
        <w:fldChar w:fldCharType="end"/>
      </w:r>
      <w:r>
        <w:fldChar w:fldCharType="end"/>
      </w:r>
    </w:p>
    <w:p w14:paraId="4967C3E5">
      <w:pPr>
        <w:pStyle w:val="4"/>
        <w:spacing w:before="78" w:after="78"/>
        <w:rPr>
          <w:rFonts w:asciiTheme="minorHAnsi" w:hAnsiTheme="minorHAnsi" w:eastAsiaTheme="minorEastAsia" w:cstheme="minorBidi"/>
          <w:szCs w:val="22"/>
        </w:rPr>
      </w:pPr>
      <w:r>
        <w:fldChar w:fldCharType="begin"/>
      </w:r>
      <w:r>
        <w:instrText xml:space="preserve"> HYPERLINK \l "_Toc103189497" </w:instrText>
      </w:r>
      <w:r>
        <w:fldChar w:fldCharType="separate"/>
      </w:r>
      <w:r>
        <w:rPr>
          <w:rFonts w:hint="eastAsia"/>
          <w:lang w:val="en-US" w:eastAsia="zh-CN"/>
        </w:rPr>
        <w:t>7</w:t>
      </w:r>
      <w:r>
        <w:rPr>
          <w:rStyle w:val="8"/>
        </w:rPr>
        <w:t>仪器设备</w:t>
      </w:r>
      <w:r>
        <w:tab/>
      </w:r>
      <w:r>
        <w:rPr>
          <w:rFonts w:hint="eastAsia"/>
          <w:lang w:val="en-US" w:eastAsia="zh-CN"/>
        </w:rPr>
        <w:t>3</w:t>
      </w:r>
      <w:r>
        <w:fldChar w:fldCharType="end"/>
      </w:r>
    </w:p>
    <w:p w14:paraId="750D1A2A">
      <w:pPr>
        <w:pStyle w:val="4"/>
        <w:spacing w:before="78" w:after="78"/>
        <w:rPr>
          <w:rFonts w:asciiTheme="minorHAnsi" w:hAnsiTheme="minorHAnsi" w:eastAsiaTheme="minorEastAsia" w:cstheme="minorBidi"/>
          <w:szCs w:val="22"/>
        </w:rPr>
      </w:pPr>
      <w:r>
        <w:fldChar w:fldCharType="begin"/>
      </w:r>
      <w:r>
        <w:instrText xml:space="preserve"> HYPERLINK \l "_Toc103189498" </w:instrText>
      </w:r>
      <w:r>
        <w:fldChar w:fldCharType="separate"/>
      </w:r>
      <w:r>
        <w:rPr>
          <w:rFonts w:hint="eastAsia"/>
          <w:lang w:val="en-US" w:eastAsia="zh-CN"/>
        </w:rPr>
        <w:t>8</w:t>
      </w:r>
      <w:r>
        <w:rPr>
          <w:rStyle w:val="8"/>
        </w:rPr>
        <w:t xml:space="preserve"> 样品</w:t>
      </w:r>
      <w:r>
        <w:tab/>
      </w:r>
      <w:r>
        <w:rPr>
          <w:rFonts w:hint="eastAsia"/>
          <w:lang w:val="en-US" w:eastAsia="zh-CN"/>
        </w:rPr>
        <w:t>3</w:t>
      </w:r>
      <w:r>
        <w:fldChar w:fldCharType="end"/>
      </w:r>
    </w:p>
    <w:p w14:paraId="64BCDD1C">
      <w:pPr>
        <w:pStyle w:val="4"/>
        <w:spacing w:before="78" w:after="78"/>
        <w:rPr>
          <w:rFonts w:asciiTheme="minorHAnsi" w:hAnsiTheme="minorHAnsi" w:eastAsiaTheme="minorEastAsia" w:cstheme="minorBidi"/>
          <w:szCs w:val="22"/>
        </w:rPr>
      </w:pPr>
      <w:r>
        <w:fldChar w:fldCharType="begin"/>
      </w:r>
      <w:r>
        <w:instrText xml:space="preserve"> HYPERLINK \l "_Toc103189499" </w:instrText>
      </w:r>
      <w:r>
        <w:fldChar w:fldCharType="separate"/>
      </w:r>
      <w:r>
        <w:rPr>
          <w:rFonts w:hint="eastAsia"/>
          <w:lang w:val="en-US" w:eastAsia="zh-CN"/>
        </w:rPr>
        <w:t>9</w:t>
      </w:r>
      <w:r>
        <w:rPr>
          <w:rStyle w:val="8"/>
          <w:rFonts w:hint="eastAsia"/>
        </w:rPr>
        <w:t>分析</w:t>
      </w:r>
      <w:r>
        <w:rPr>
          <w:rStyle w:val="8"/>
        </w:rPr>
        <w:t>步骤</w:t>
      </w:r>
      <w:r>
        <w:tab/>
      </w:r>
      <w:r>
        <w:rPr>
          <w:rFonts w:hint="eastAsia"/>
          <w:lang w:val="en-US" w:eastAsia="zh-CN"/>
        </w:rPr>
        <w:t>4</w:t>
      </w:r>
      <w:r>
        <w:fldChar w:fldCharType="begin"/>
      </w:r>
      <w:r>
        <w:instrText xml:space="preserve"> PAGEREF _Toc103189499 \h </w:instrText>
      </w:r>
      <w:r>
        <w:fldChar w:fldCharType="end"/>
      </w:r>
      <w:r>
        <w:fldChar w:fldCharType="end"/>
      </w:r>
    </w:p>
    <w:p w14:paraId="31188083">
      <w:pPr>
        <w:pStyle w:val="4"/>
        <w:spacing w:before="78" w:after="78"/>
        <w:rPr>
          <w:rFonts w:asciiTheme="minorHAnsi" w:hAnsiTheme="minorHAnsi" w:cstheme="minorBidi"/>
          <w:szCs w:val="22"/>
        </w:rPr>
      </w:pPr>
      <w:r>
        <w:fldChar w:fldCharType="begin"/>
      </w:r>
      <w:r>
        <w:instrText xml:space="preserve"> HYPERLINK \l "_Toc103189500" </w:instrText>
      </w:r>
      <w:r>
        <w:fldChar w:fldCharType="separate"/>
      </w:r>
      <w:r>
        <w:rPr>
          <w:rFonts w:hint="eastAsia"/>
          <w:lang w:val="en-US" w:eastAsia="zh-CN"/>
        </w:rPr>
        <w:t>10</w:t>
      </w:r>
      <w:r>
        <w:rPr>
          <w:rStyle w:val="8"/>
        </w:rPr>
        <w:t>结果计算与表示</w:t>
      </w:r>
      <w:r>
        <w:tab/>
      </w:r>
      <w:r>
        <w:fldChar w:fldCharType="begin"/>
      </w:r>
      <w:r>
        <w:instrText xml:space="preserve"> PAGEREF _Toc103189500 \h </w:instrText>
      </w:r>
      <w:r>
        <w:fldChar w:fldCharType="end"/>
      </w:r>
      <w:r>
        <w:fldChar w:fldCharType="end"/>
      </w:r>
      <w:r>
        <w:rPr>
          <w:rFonts w:hint="eastAsia"/>
        </w:rPr>
        <w:t>4</w:t>
      </w:r>
    </w:p>
    <w:p w14:paraId="0C99B18A">
      <w:pPr>
        <w:pStyle w:val="4"/>
        <w:spacing w:before="78" w:after="78"/>
        <w:rPr>
          <w:rFonts w:asciiTheme="minorHAnsi" w:hAnsiTheme="minorHAnsi" w:cstheme="minorBidi"/>
          <w:szCs w:val="22"/>
        </w:rPr>
      </w:pPr>
      <w:r>
        <w:fldChar w:fldCharType="begin"/>
      </w:r>
      <w:r>
        <w:instrText xml:space="preserve"> HYPERLINK \l "_Toc103189501" </w:instrText>
      </w:r>
      <w:r>
        <w:fldChar w:fldCharType="separate"/>
      </w:r>
      <w:r>
        <w:rPr>
          <w:rFonts w:hint="eastAsia"/>
        </w:rPr>
        <w:t>1</w:t>
      </w:r>
      <w:r>
        <w:rPr>
          <w:rFonts w:hint="eastAsia"/>
          <w:lang w:val="en-US" w:eastAsia="zh-CN"/>
        </w:rPr>
        <w:t>1</w:t>
      </w:r>
      <w:r>
        <w:rPr>
          <w:rStyle w:val="8"/>
        </w:rPr>
        <w:t>精密度和</w:t>
      </w:r>
      <w:r>
        <w:rPr>
          <w:rStyle w:val="8"/>
          <w:rFonts w:hint="eastAsia"/>
          <w:lang w:eastAsia="zh-CN"/>
        </w:rPr>
        <w:t>正</w:t>
      </w:r>
      <w:r>
        <w:rPr>
          <w:rStyle w:val="8"/>
        </w:rPr>
        <w:t>确度</w:t>
      </w:r>
      <w:r>
        <w:tab/>
      </w:r>
      <w:r>
        <w:fldChar w:fldCharType="begin"/>
      </w:r>
      <w:r>
        <w:instrText xml:space="preserve"> PAGEREF _Toc103189501 \h </w:instrText>
      </w:r>
      <w:r>
        <w:fldChar w:fldCharType="end"/>
      </w:r>
      <w:r>
        <w:fldChar w:fldCharType="end"/>
      </w:r>
      <w:r>
        <w:rPr>
          <w:rFonts w:hint="eastAsia"/>
        </w:rPr>
        <w:t>6</w:t>
      </w:r>
    </w:p>
    <w:p w14:paraId="3826A267">
      <w:pPr>
        <w:pStyle w:val="4"/>
        <w:spacing w:before="78" w:after="78"/>
        <w:rPr>
          <w:rFonts w:hint="eastAsia" w:eastAsia="宋体" w:asciiTheme="minorHAnsi" w:hAnsiTheme="minorHAnsi" w:cstheme="minorBidi"/>
          <w:szCs w:val="22"/>
          <w:lang w:val="en-US" w:eastAsia="zh-CN"/>
        </w:rPr>
      </w:pPr>
      <w:r>
        <w:fldChar w:fldCharType="begin"/>
      </w:r>
      <w:r>
        <w:instrText xml:space="preserve"> HYPERLINK \l "_Toc103189502" </w:instrText>
      </w:r>
      <w:r>
        <w:fldChar w:fldCharType="separate"/>
      </w:r>
      <w:r>
        <w:rPr>
          <w:rStyle w:val="8"/>
        </w:rPr>
        <w:t>1</w:t>
      </w:r>
      <w:r>
        <w:rPr>
          <w:rStyle w:val="8"/>
          <w:rFonts w:hint="eastAsia"/>
          <w:lang w:val="en-US"/>
        </w:rPr>
        <w:t>2</w:t>
      </w:r>
      <w:r>
        <w:rPr>
          <w:rStyle w:val="8"/>
          <w:rFonts w:hint="eastAsia"/>
        </w:rPr>
        <w:t>质量保证和</w:t>
      </w:r>
      <w:r>
        <w:rPr>
          <w:rStyle w:val="8"/>
          <w:rFonts w:ascii="Times New Roman"/>
        </w:rPr>
        <w:t>质量控制</w:t>
      </w:r>
      <w:r>
        <w:tab/>
      </w:r>
      <w:r>
        <w:fldChar w:fldCharType="end"/>
      </w:r>
      <w:r>
        <w:rPr>
          <w:rFonts w:hint="eastAsia"/>
          <w:lang w:val="en-US" w:eastAsia="zh-CN"/>
        </w:rPr>
        <w:t>7</w:t>
      </w:r>
    </w:p>
    <w:p w14:paraId="01307958">
      <w:pPr>
        <w:pStyle w:val="4"/>
        <w:spacing w:before="78" w:after="78"/>
      </w:pPr>
      <w:r>
        <w:fldChar w:fldCharType="begin"/>
      </w:r>
      <w:r>
        <w:instrText xml:space="preserve"> HYPERLINK \l "_Toc103189503" </w:instrText>
      </w:r>
      <w:r>
        <w:fldChar w:fldCharType="separate"/>
      </w:r>
      <w:r>
        <w:rPr>
          <w:rStyle w:val="8"/>
        </w:rPr>
        <w:t>1</w:t>
      </w:r>
      <w:r>
        <w:rPr>
          <w:rStyle w:val="8"/>
          <w:rFonts w:hint="eastAsia"/>
          <w:lang w:val="en-US"/>
        </w:rPr>
        <w:t>3</w:t>
      </w:r>
      <w:r>
        <w:rPr>
          <w:rStyle w:val="8"/>
          <w:rFonts w:ascii="Times New Roman"/>
        </w:rPr>
        <w:t>废物处理</w:t>
      </w:r>
      <w:r>
        <w:tab/>
      </w:r>
      <w:r>
        <w:rPr>
          <w:rFonts w:hint="eastAsia"/>
          <w:lang w:val="en-US" w:eastAsia="zh-CN"/>
        </w:rPr>
        <w:t>8</w:t>
      </w:r>
      <w:r>
        <w:fldChar w:fldCharType="end"/>
      </w:r>
    </w:p>
    <w:p w14:paraId="423A3E77">
      <w:pPr>
        <w:pStyle w:val="4"/>
        <w:spacing w:before="78" w:after="78"/>
      </w:pPr>
      <w:r>
        <w:fldChar w:fldCharType="begin"/>
      </w:r>
      <w:r>
        <w:instrText xml:space="preserve"> HYPERLINK \l "_Toc103189504" </w:instrText>
      </w:r>
      <w:r>
        <w:fldChar w:fldCharType="separate"/>
      </w:r>
      <w:r>
        <w:rPr>
          <w:rStyle w:val="8"/>
        </w:rPr>
        <w:t>附录A（</w:t>
      </w:r>
      <w:r>
        <w:rPr>
          <w:rStyle w:val="8"/>
          <w:rFonts w:hint="eastAsia"/>
        </w:rPr>
        <w:t>规范性</w:t>
      </w:r>
      <w:r>
        <w:rPr>
          <w:rStyle w:val="8"/>
        </w:rPr>
        <w:t>）</w:t>
      </w:r>
      <w:r>
        <w:rPr>
          <w:rStyle w:val="8"/>
          <w:rFonts w:hint="eastAsia"/>
        </w:rPr>
        <w:t>方法的检出限和测定下限</w:t>
      </w:r>
      <w:r>
        <w:tab/>
      </w:r>
      <w:r>
        <w:rPr>
          <w:rFonts w:hint="eastAsia"/>
          <w:lang w:val="en-US" w:eastAsia="zh-CN"/>
        </w:rPr>
        <w:t>9</w:t>
      </w:r>
      <w:r>
        <w:fldChar w:fldCharType="end"/>
      </w:r>
    </w:p>
    <w:p w14:paraId="5A33AB84">
      <w:pPr>
        <w:pStyle w:val="4"/>
        <w:spacing w:before="78" w:after="78"/>
        <w:rPr>
          <w:rFonts w:hint="eastAsia" w:eastAsia="宋体"/>
          <w:lang w:val="en-US" w:eastAsia="zh-CN"/>
        </w:rPr>
      </w:pPr>
      <w:r>
        <w:fldChar w:fldCharType="begin"/>
      </w:r>
      <w:r>
        <w:instrText xml:space="preserve"> HYPERLINK \l "_Toc103189505" </w:instrText>
      </w:r>
      <w:r>
        <w:fldChar w:fldCharType="separate"/>
      </w:r>
      <w:r>
        <w:rPr>
          <w:rStyle w:val="8"/>
        </w:rPr>
        <w:t>附录B（资料性）</w:t>
      </w:r>
      <w:r>
        <w:rPr>
          <w:rStyle w:val="8"/>
          <w:rFonts w:hint="eastAsia"/>
        </w:rPr>
        <w:t>方法的精密度和正确度</w:t>
      </w:r>
      <w:r>
        <w:tab/>
      </w:r>
      <w:r>
        <w:rPr>
          <w:rFonts w:hint="eastAsia"/>
          <w:lang w:val="en-US" w:eastAsia="zh-CN"/>
        </w:rPr>
        <w:t>1</w:t>
      </w:r>
      <w:r>
        <w:fldChar w:fldCharType="end"/>
      </w:r>
      <w:r>
        <w:rPr>
          <w:rFonts w:hint="eastAsia"/>
          <w:lang w:val="en-US" w:eastAsia="zh-CN"/>
        </w:rPr>
        <w:t>0</w:t>
      </w:r>
    </w:p>
    <w:p w14:paraId="423BD451">
      <w:pPr>
        <w:pStyle w:val="4"/>
        <w:spacing w:before="78" w:after="78"/>
        <w:rPr>
          <w:rFonts w:asciiTheme="minorHAnsi" w:hAnsiTheme="minorHAnsi" w:cstheme="minorBidi"/>
          <w:szCs w:val="22"/>
        </w:rPr>
      </w:pPr>
      <w:r>
        <w:fldChar w:fldCharType="begin"/>
      </w:r>
      <w:r>
        <w:instrText xml:space="preserve"> HYPERLINK \l "_Toc103189501" </w:instrText>
      </w:r>
      <w:r>
        <w:fldChar w:fldCharType="separate"/>
      </w:r>
      <w:r>
        <w:rPr>
          <w:rStyle w:val="8"/>
        </w:rPr>
        <w:t>附录</w:t>
      </w:r>
      <w:r>
        <w:rPr>
          <w:rStyle w:val="8"/>
          <w:rFonts w:hint="eastAsia"/>
        </w:rPr>
        <w:t>C</w:t>
      </w:r>
      <w:r>
        <w:rPr>
          <w:rStyle w:val="8"/>
        </w:rPr>
        <w:t>（资</w:t>
      </w:r>
      <w:bookmarkStart w:id="44" w:name="_GoBack"/>
      <w:bookmarkEnd w:id="44"/>
      <w:r>
        <w:rPr>
          <w:rStyle w:val="8"/>
        </w:rPr>
        <w:t>料性）</w:t>
      </w:r>
      <w:r>
        <w:rPr>
          <w:rStyle w:val="8"/>
          <w:rFonts w:hint="eastAsia"/>
        </w:rPr>
        <w:t>重复分析相对偏差允许限.</w:t>
      </w:r>
      <w:r>
        <w:tab/>
      </w:r>
      <w:r>
        <w:rPr>
          <w:rFonts w:hint="eastAsia"/>
          <w:lang w:val="en-US" w:eastAsia="zh-CN"/>
        </w:rPr>
        <w:t>1</w:t>
      </w:r>
      <w:r>
        <w:fldChar w:fldCharType="end"/>
      </w:r>
      <w:r>
        <w:rPr>
          <w:rFonts w:hint="eastAsia"/>
          <w:lang w:val="en-US" w:eastAsia="zh-CN"/>
        </w:rPr>
        <w:t>1</w:t>
      </w:r>
    </w:p>
    <w:p w14:paraId="4A187818">
      <w:pPr>
        <w:pStyle w:val="25"/>
      </w:pPr>
      <w:r>
        <w:rPr>
          <w:kern w:val="2"/>
          <w:szCs w:val="21"/>
        </w:rPr>
        <w:fldChar w:fldCharType="end"/>
      </w:r>
    </w:p>
    <w:p w14:paraId="5A37A5B0">
      <w:pPr>
        <w:pStyle w:val="25"/>
      </w:pPr>
    </w:p>
    <w:p w14:paraId="024E788F">
      <w:pPr>
        <w:pStyle w:val="31"/>
      </w:pPr>
      <w:bookmarkStart w:id="16" w:name="_Toc34988456"/>
      <w:bookmarkStart w:id="17" w:name="_Toc103189492"/>
      <w:r>
        <w:rPr>
          <w:rFonts w:hint="eastAsia"/>
        </w:rPr>
        <w:t>前</w:t>
      </w:r>
      <w:bookmarkStart w:id="18" w:name="BKQY"/>
      <w:r>
        <w:rPr>
          <w:rFonts w:hAnsi="黑体"/>
        </w:rPr>
        <w:t>  </w:t>
      </w:r>
      <w:r>
        <w:rPr>
          <w:rFonts w:hint="eastAsia"/>
        </w:rPr>
        <w:t>言</w:t>
      </w:r>
      <w:bookmarkEnd w:id="14"/>
      <w:bookmarkEnd w:id="16"/>
      <w:bookmarkEnd w:id="17"/>
      <w:bookmarkEnd w:id="18"/>
    </w:p>
    <w:p w14:paraId="58E60C89">
      <w:pPr>
        <w:pStyle w:val="25"/>
        <w:rPr>
          <w:rFonts w:hint="default" w:eastAsia="宋体"/>
          <w:szCs w:val="21"/>
          <w:lang w:val="en-US" w:eastAsia="zh-CN"/>
        </w:rPr>
      </w:pPr>
      <w:bookmarkStart w:id="19" w:name="_Hlk38893697"/>
      <w:r>
        <w:rPr>
          <w:rFonts w:hint="eastAsia"/>
          <w:szCs w:val="21"/>
          <w:lang w:eastAsia="zh-CN"/>
        </w:rPr>
        <w:t>本文件按照</w:t>
      </w:r>
      <w:r>
        <w:rPr>
          <w:rFonts w:hint="eastAsia"/>
          <w:szCs w:val="21"/>
          <w:lang w:val="en-US" w:eastAsia="zh-CN"/>
        </w:rPr>
        <w:t>GB/T 1.1-2020《标准化工作导则 第1部分：标准化文件的结构和起草规则》的规定起草。</w:t>
      </w:r>
    </w:p>
    <w:p w14:paraId="6D9F1742">
      <w:pPr>
        <w:pStyle w:val="25"/>
        <w:rPr>
          <w:szCs w:val="21"/>
        </w:rPr>
      </w:pPr>
      <w:r>
        <w:rPr>
          <w:rFonts w:hint="eastAsia"/>
          <w:szCs w:val="21"/>
          <w:lang w:eastAsia="zh-CN"/>
        </w:rPr>
        <w:t>请注意本文件</w:t>
      </w:r>
      <w:r>
        <w:rPr>
          <w:rFonts w:hint="eastAsia"/>
          <w:szCs w:val="21"/>
        </w:rPr>
        <w:t>的某些内容可能涉及专利。</w:t>
      </w:r>
      <w:r>
        <w:rPr>
          <w:rFonts w:hint="eastAsia"/>
          <w:szCs w:val="21"/>
          <w:lang w:eastAsia="zh-CN"/>
        </w:rPr>
        <w:t>本文件</w:t>
      </w:r>
      <w:r>
        <w:rPr>
          <w:rFonts w:hint="eastAsia"/>
          <w:szCs w:val="21"/>
        </w:rPr>
        <w:t>的发布机构不承担识别专利的责任。</w:t>
      </w:r>
    </w:p>
    <w:p w14:paraId="5DCA910B">
      <w:pPr>
        <w:pStyle w:val="25"/>
        <w:rPr>
          <w:szCs w:val="21"/>
        </w:rPr>
      </w:pPr>
      <w:r>
        <w:rPr>
          <w:rFonts w:hint="eastAsia"/>
          <w:lang w:eastAsia="zh-CN"/>
        </w:rPr>
        <w:t>本文件</w:t>
      </w:r>
      <w:r>
        <w:t>由</w:t>
      </w:r>
      <w:r>
        <w:rPr>
          <w:rFonts w:hint="eastAsia"/>
        </w:rPr>
        <w:t>江西省生态环境厅</w:t>
      </w:r>
      <w:r>
        <w:t>提出</w:t>
      </w:r>
      <w:r>
        <w:rPr>
          <w:rFonts w:hint="eastAsia"/>
        </w:rPr>
        <w:t>并归口。</w:t>
      </w:r>
    </w:p>
    <w:p w14:paraId="72BBA0C8">
      <w:pPr>
        <w:pStyle w:val="25"/>
        <w:rPr>
          <w:szCs w:val="21"/>
        </w:rPr>
      </w:pPr>
      <w:r>
        <w:rPr>
          <w:rFonts w:hint="eastAsia"/>
          <w:szCs w:val="21"/>
          <w:lang w:eastAsia="zh-CN"/>
        </w:rPr>
        <w:t>本文件</w:t>
      </w:r>
      <w:r>
        <w:rPr>
          <w:rFonts w:hint="eastAsia"/>
          <w:szCs w:val="21"/>
        </w:rPr>
        <w:t>起草单位：</w:t>
      </w:r>
      <w:r>
        <w:rPr>
          <w:rFonts w:hint="eastAsia"/>
        </w:rPr>
        <w:t>江西省辐射环境监督站、</w:t>
      </w:r>
      <w:r>
        <w:rPr>
          <w:rFonts w:hint="eastAsia"/>
          <w:szCs w:val="21"/>
        </w:rPr>
        <w:t>核工业二七0研究所</w:t>
      </w:r>
      <w:r>
        <w:rPr>
          <w:rFonts w:hint="eastAsia"/>
          <w:szCs w:val="21"/>
          <w:lang w:eastAsia="zh-CN"/>
        </w:rPr>
        <w:t>、</w:t>
      </w:r>
      <w:r>
        <w:rPr>
          <w:rFonts w:hint="eastAsia"/>
          <w:szCs w:val="21"/>
        </w:rPr>
        <w:t>南昌大学、</w:t>
      </w:r>
      <w:r>
        <w:rPr>
          <w:rFonts w:hint="eastAsia"/>
          <w:szCs w:val="21"/>
          <w:lang w:eastAsia="zh-CN"/>
        </w:rPr>
        <w:t>江西省景德镇生态环境监测中心</w:t>
      </w:r>
      <w:r>
        <w:rPr>
          <w:rFonts w:hint="eastAsia"/>
          <w:szCs w:val="21"/>
        </w:rPr>
        <w:t>、核工业二八0研究所、核工业二九0研究所。</w:t>
      </w:r>
    </w:p>
    <w:p w14:paraId="35F73292">
      <w:pPr>
        <w:pStyle w:val="25"/>
        <w:rPr>
          <w:rFonts w:hint="eastAsia" w:ascii="Times New Roman" w:eastAsia="宋体"/>
          <w:kern w:val="2"/>
          <w:szCs w:val="24"/>
          <w:lang w:eastAsia="zh-CN"/>
        </w:rPr>
        <w:sectPr>
          <w:headerReference r:id="rId7" w:type="default"/>
          <w:footerReference r:id="rId8" w:type="default"/>
          <w:pgSz w:w="11906" w:h="16838"/>
          <w:pgMar w:top="567" w:right="1134" w:bottom="1134" w:left="1417" w:header="1418" w:footer="1134" w:gutter="0"/>
          <w:pgNumType w:fmt="upperRoman" w:start="1"/>
          <w:cols w:space="720" w:num="1"/>
          <w:formProt w:val="0"/>
          <w:docGrid w:type="lines" w:linePitch="312" w:charSpace="0"/>
        </w:sectPr>
      </w:pPr>
      <w:bookmarkStart w:id="20" w:name="_Hlk75685026"/>
      <w:r>
        <w:rPr>
          <w:rFonts w:hint="eastAsia" w:ascii="Times New Roman"/>
          <w:kern w:val="2"/>
          <w:szCs w:val="24"/>
          <w:lang w:eastAsia="zh-CN"/>
        </w:rPr>
        <w:t>本文件</w:t>
      </w:r>
      <w:r>
        <w:rPr>
          <w:rFonts w:ascii="Times New Roman"/>
          <w:kern w:val="2"/>
          <w:szCs w:val="24"/>
        </w:rPr>
        <w:t>主要起草人</w:t>
      </w:r>
      <w:r>
        <w:rPr>
          <w:rFonts w:hint="eastAsia" w:ascii="Times New Roman"/>
          <w:kern w:val="2"/>
          <w:szCs w:val="24"/>
        </w:rPr>
        <w:t>：</w:t>
      </w:r>
      <w:bookmarkEnd w:id="20"/>
      <w:r>
        <w:rPr>
          <w:rFonts w:hint="eastAsia" w:ascii="Times New Roman"/>
          <w:kern w:val="2"/>
          <w:szCs w:val="24"/>
        </w:rPr>
        <w:t xml:space="preserve">齐玲 李茜 金琴 </w:t>
      </w:r>
      <w:r>
        <w:rPr>
          <w:rFonts w:hint="eastAsia" w:ascii="Times New Roman"/>
          <w:kern w:val="2"/>
          <w:szCs w:val="24"/>
          <w:lang w:eastAsia="zh-CN"/>
        </w:rPr>
        <w:t>程绍鹃</w:t>
      </w:r>
      <w:r>
        <w:rPr>
          <w:rFonts w:hint="eastAsia" w:ascii="Times New Roman"/>
          <w:kern w:val="2"/>
          <w:szCs w:val="24"/>
        </w:rPr>
        <w:t xml:space="preserve"> </w:t>
      </w:r>
      <w:r>
        <w:rPr>
          <w:rFonts w:hint="eastAsia" w:ascii="Times New Roman"/>
          <w:kern w:val="2"/>
          <w:szCs w:val="24"/>
          <w:lang w:eastAsia="zh-CN"/>
        </w:rPr>
        <w:t>张瀚中</w:t>
      </w:r>
      <w:r>
        <w:rPr>
          <w:rFonts w:hint="eastAsia" w:ascii="Times New Roman"/>
          <w:kern w:val="2"/>
          <w:szCs w:val="24"/>
          <w:lang w:val="en-US" w:eastAsia="zh-CN"/>
        </w:rPr>
        <w:t xml:space="preserve"> </w:t>
      </w:r>
      <w:r>
        <w:rPr>
          <w:rFonts w:hint="eastAsia" w:ascii="Times New Roman"/>
          <w:kern w:val="2"/>
          <w:szCs w:val="24"/>
        </w:rPr>
        <w:t xml:space="preserve">黄颖翀 郭岚 柳英霞 </w:t>
      </w:r>
      <w:r>
        <w:rPr>
          <w:rFonts w:hint="eastAsia" w:ascii="Times New Roman"/>
          <w:kern w:val="2"/>
          <w:szCs w:val="24"/>
          <w:lang w:eastAsia="zh-CN"/>
        </w:rPr>
        <w:t>李汉菲</w:t>
      </w:r>
      <w:r>
        <w:rPr>
          <w:rFonts w:hint="eastAsia" w:ascii="Times New Roman"/>
          <w:kern w:val="2"/>
          <w:szCs w:val="24"/>
          <w:lang w:val="en-US" w:eastAsia="zh-CN"/>
        </w:rPr>
        <w:t xml:space="preserve"> </w:t>
      </w:r>
      <w:r>
        <w:rPr>
          <w:rFonts w:hint="eastAsia" w:ascii="Times New Roman"/>
          <w:kern w:val="2"/>
          <w:szCs w:val="24"/>
          <w:lang w:eastAsia="zh-CN"/>
        </w:rPr>
        <w:t>彭元艺</w:t>
      </w:r>
      <w:r>
        <w:rPr>
          <w:rFonts w:hint="eastAsia" w:ascii="Times New Roman"/>
          <w:kern w:val="2"/>
          <w:szCs w:val="24"/>
          <w:lang w:val="en-US" w:eastAsia="zh-CN"/>
        </w:rPr>
        <w:t xml:space="preserve"> </w:t>
      </w:r>
      <w:r>
        <w:rPr>
          <w:rFonts w:hint="eastAsia" w:ascii="Times New Roman"/>
          <w:kern w:val="2"/>
          <w:szCs w:val="24"/>
        </w:rPr>
        <w:t xml:space="preserve"> </w:t>
      </w:r>
      <w:r>
        <w:rPr>
          <w:rFonts w:hint="eastAsia" w:ascii="宋体" w:hAnsi="宋体" w:eastAsia="宋体" w:cs="宋体"/>
          <w:sz w:val="21"/>
          <w:szCs w:val="21"/>
        </w:rPr>
        <w:t>巢  磊</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袁语霜</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黄龙</w:t>
      </w:r>
      <w:r>
        <w:rPr>
          <w:rFonts w:hint="eastAsia" w:ascii="宋体" w:hAnsi="宋体" w:eastAsia="宋体" w:cs="宋体"/>
          <w:sz w:val="21"/>
          <w:szCs w:val="21"/>
          <w:lang w:val="en-US" w:eastAsia="zh-CN"/>
        </w:rPr>
        <w:t xml:space="preserve"> </w:t>
      </w:r>
      <w:r>
        <w:rPr>
          <w:rFonts w:hint="eastAsia" w:ascii="Times New Roman"/>
          <w:kern w:val="2"/>
          <w:szCs w:val="24"/>
        </w:rPr>
        <w:t>欧阳权根 李晓燕</w:t>
      </w:r>
      <w:r>
        <w:rPr>
          <w:rFonts w:hint="eastAsia" w:ascii="Times New Roman"/>
          <w:kern w:val="2"/>
          <w:szCs w:val="24"/>
          <w:lang w:val="en-US" w:eastAsia="zh-CN"/>
        </w:rPr>
        <w:t xml:space="preserve"> </w:t>
      </w:r>
      <w:r>
        <w:rPr>
          <w:rFonts w:hint="eastAsia" w:ascii="Times New Roman"/>
          <w:kern w:val="2"/>
          <w:szCs w:val="24"/>
        </w:rPr>
        <w:t xml:space="preserve">田晓照 潘伟超 </w:t>
      </w:r>
      <w:r>
        <w:rPr>
          <w:rFonts w:hint="eastAsia" w:ascii="宋体" w:hAnsi="宋体" w:eastAsia="宋体" w:cs="宋体"/>
          <w:sz w:val="21"/>
          <w:szCs w:val="21"/>
          <w:lang w:val="en-US" w:eastAsia="zh-CN"/>
        </w:rPr>
        <w:t>李海燕</w:t>
      </w:r>
    </w:p>
    <w:p w14:paraId="798658DF">
      <w:pPr>
        <w:jc w:val="center"/>
        <w:rPr>
          <w:rFonts w:ascii="黑体" w:hAnsi="黑体" w:eastAsia="黑体"/>
          <w:sz w:val="32"/>
          <w:szCs w:val="40"/>
        </w:rPr>
      </w:pPr>
      <w:r>
        <w:rPr>
          <w:rFonts w:hint="eastAsia" w:ascii="黑体" w:hAnsi="黑体" w:eastAsia="黑体"/>
          <w:sz w:val="32"/>
          <w:szCs w:val="40"/>
        </w:rPr>
        <w:t>固体废物 铀、钍的测定</w:t>
      </w:r>
    </w:p>
    <w:p w14:paraId="3F20B578">
      <w:pPr>
        <w:jc w:val="center"/>
        <w:rPr>
          <w:rFonts w:ascii="黑体" w:hAnsi="黑体" w:eastAsia="黑体"/>
          <w:sz w:val="32"/>
          <w:szCs w:val="40"/>
        </w:rPr>
      </w:pPr>
      <w:r>
        <w:rPr>
          <w:rFonts w:hint="eastAsia" w:ascii="黑体" w:hAnsi="黑体" w:eastAsia="黑体"/>
          <w:sz w:val="32"/>
          <w:szCs w:val="40"/>
        </w:rPr>
        <w:t>电感耦合等离子体质谱法</w:t>
      </w:r>
    </w:p>
    <w:p w14:paraId="4E7566BA">
      <w:pPr>
        <w:jc w:val="center"/>
        <w:rPr>
          <w:rFonts w:ascii="黑体" w:hAnsi="黑体" w:eastAsia="黑体"/>
          <w:sz w:val="32"/>
          <w:szCs w:val="40"/>
        </w:rPr>
      </w:pPr>
    </w:p>
    <w:p w14:paraId="65FA46FD">
      <w:pPr>
        <w:jc w:val="left"/>
        <w:rPr>
          <w:rFonts w:ascii="黑体" w:hAnsi="黑体" w:eastAsia="黑体"/>
          <w:szCs w:val="21"/>
        </w:rPr>
      </w:pPr>
      <w:r>
        <w:rPr>
          <w:rFonts w:hint="eastAsia" w:ascii="黑体" w:hAnsi="黑体" w:eastAsia="黑体"/>
          <w:szCs w:val="21"/>
        </w:rPr>
        <w:t xml:space="preserve">  警告：配制及测定铀、钍标准溶液时，应避免与皮肤直接接触。实验中使用的</w:t>
      </w:r>
      <w:r>
        <w:rPr>
          <w:rFonts w:hint="eastAsia" w:ascii="黑体" w:hAnsi="黑体" w:eastAsia="黑体"/>
          <w:szCs w:val="21"/>
          <w:lang w:eastAsia="zh-CN"/>
        </w:rPr>
        <w:t>高氯酸、</w:t>
      </w:r>
      <w:r>
        <w:rPr>
          <w:rFonts w:hint="eastAsia" w:ascii="黑体" w:hAnsi="黑体" w:eastAsia="黑体"/>
          <w:szCs w:val="21"/>
        </w:rPr>
        <w:t>硝酸</w:t>
      </w:r>
      <w:r>
        <w:rPr>
          <w:rFonts w:hint="eastAsia" w:ascii="黑体" w:hAnsi="黑体" w:eastAsia="黑体"/>
          <w:szCs w:val="21"/>
          <w:lang w:eastAsia="zh-CN"/>
        </w:rPr>
        <w:t>、</w:t>
      </w:r>
      <w:r>
        <w:rPr>
          <w:rFonts w:hint="eastAsia" w:ascii="黑体" w:hAnsi="黑体" w:eastAsia="黑体"/>
          <w:szCs w:val="21"/>
        </w:rPr>
        <w:t>氢氟酸</w:t>
      </w:r>
      <w:r>
        <w:rPr>
          <w:rFonts w:hint="eastAsia" w:ascii="黑体" w:hAnsi="黑体" w:eastAsia="黑体"/>
          <w:szCs w:val="21"/>
          <w:lang w:eastAsia="zh-CN"/>
        </w:rPr>
        <w:t>、</w:t>
      </w:r>
      <w:r>
        <w:rPr>
          <w:rFonts w:hint="eastAsia" w:ascii="黑体" w:hAnsi="黑体" w:eastAsia="黑体"/>
          <w:szCs w:val="21"/>
        </w:rPr>
        <w:t>盐酸</w:t>
      </w:r>
      <w:r>
        <w:rPr>
          <w:rFonts w:hint="eastAsia" w:ascii="黑体" w:hAnsi="黑体" w:eastAsia="黑体"/>
          <w:szCs w:val="21"/>
          <w:lang w:eastAsia="zh-CN"/>
        </w:rPr>
        <w:t>等或</w:t>
      </w:r>
      <w:r>
        <w:rPr>
          <w:rFonts w:hint="eastAsia" w:ascii="黑体" w:hAnsi="黑体" w:eastAsia="黑体"/>
          <w:szCs w:val="21"/>
        </w:rPr>
        <w:t>具有</w:t>
      </w:r>
      <w:r>
        <w:rPr>
          <w:rFonts w:hint="eastAsia" w:ascii="黑体" w:hAnsi="黑体" w:eastAsia="黑体"/>
          <w:szCs w:val="21"/>
          <w:lang w:eastAsia="zh-CN"/>
        </w:rPr>
        <w:t>强氧化性，或</w:t>
      </w:r>
      <w:r>
        <w:rPr>
          <w:rFonts w:hint="eastAsia" w:ascii="黑体" w:hAnsi="黑体" w:eastAsia="黑体"/>
          <w:szCs w:val="21"/>
        </w:rPr>
        <w:t>具有挥发性和腐蚀性，操作时应按规定要求佩戴防护用品，并在通风橱中进行，避免酸雾吸入呼吸道和接触皮肤、衣物。</w:t>
      </w:r>
    </w:p>
    <w:p w14:paraId="37D3E7E5">
      <w:pPr>
        <w:pStyle w:val="32"/>
        <w:spacing w:before="312" w:after="312"/>
      </w:pPr>
      <w:bookmarkStart w:id="21" w:name="_Toc103189493"/>
      <w:bookmarkStart w:id="22" w:name="_Toc492547959"/>
      <w:bookmarkStart w:id="23" w:name="_Toc521918899"/>
      <w:bookmarkStart w:id="24" w:name="_Toc519238223"/>
      <w:bookmarkStart w:id="25" w:name="_Toc34988457"/>
      <w:bookmarkStart w:id="26" w:name="_Toc518576238"/>
      <w:bookmarkStart w:id="27" w:name="_Toc518575952"/>
      <w:bookmarkStart w:id="28" w:name="_Toc518632141"/>
      <w:r>
        <w:rPr>
          <w:rFonts w:hint="eastAsia"/>
        </w:rPr>
        <w:t>范围</w:t>
      </w:r>
      <w:bookmarkEnd w:id="21"/>
      <w:bookmarkEnd w:id="22"/>
      <w:bookmarkEnd w:id="23"/>
      <w:bookmarkEnd w:id="24"/>
      <w:bookmarkEnd w:id="25"/>
      <w:bookmarkEnd w:id="26"/>
      <w:bookmarkEnd w:id="27"/>
      <w:bookmarkEnd w:id="28"/>
    </w:p>
    <w:p w14:paraId="57B0038D">
      <w:pPr>
        <w:pStyle w:val="25"/>
        <w:rPr>
          <w:rFonts w:ascii="Times New Roman"/>
        </w:rPr>
      </w:pPr>
      <w:r>
        <w:rPr>
          <w:rFonts w:hint="eastAsia" w:ascii="Times New Roman"/>
          <w:lang w:eastAsia="zh-CN"/>
        </w:rPr>
        <w:t>本文件</w:t>
      </w:r>
      <w:r>
        <w:rPr>
          <w:rFonts w:ascii="Times New Roman"/>
        </w:rPr>
        <w:t>规定了</w:t>
      </w:r>
      <w:r>
        <w:rPr>
          <w:rFonts w:hint="eastAsia" w:ascii="Times New Roman"/>
        </w:rPr>
        <w:t>测定固体废物和固体废物浸出液中铀、钍的</w:t>
      </w:r>
      <w:r>
        <w:rPr>
          <w:rFonts w:ascii="Times New Roman"/>
        </w:rPr>
        <w:t>电感耦合等离子</w:t>
      </w:r>
      <w:r>
        <w:rPr>
          <w:rFonts w:hint="eastAsia" w:ascii="Times New Roman"/>
        </w:rPr>
        <w:t>体质</w:t>
      </w:r>
      <w:r>
        <w:rPr>
          <w:rFonts w:ascii="Times New Roman"/>
        </w:rPr>
        <w:t>谱</w:t>
      </w:r>
      <w:r>
        <w:rPr>
          <w:rFonts w:hint="eastAsia" w:ascii="Times New Roman"/>
        </w:rPr>
        <w:t>法。</w:t>
      </w:r>
    </w:p>
    <w:p w14:paraId="2AAFF349">
      <w:pPr>
        <w:pStyle w:val="25"/>
        <w:rPr>
          <w:rFonts w:ascii="Times New Roman"/>
        </w:rPr>
      </w:pPr>
      <w:r>
        <w:rPr>
          <w:rFonts w:hint="eastAsia" w:ascii="Times New Roman"/>
          <w:lang w:eastAsia="zh-CN"/>
        </w:rPr>
        <w:t>本文件</w:t>
      </w:r>
      <w:r>
        <w:rPr>
          <w:rFonts w:hint="eastAsia" w:ascii="Times New Roman"/>
        </w:rPr>
        <w:t>适用于固体废物和固体废物浸出液铀（U)、钍(Th)的测定</w:t>
      </w:r>
      <w:r>
        <w:rPr>
          <w:rFonts w:hint="eastAsia" w:ascii="Times New Roman"/>
          <w:lang w:eastAsia="zh-CN"/>
        </w:rPr>
        <w:t>，不</w:t>
      </w:r>
      <w:r>
        <w:rPr>
          <w:rFonts w:hint="eastAsia" w:ascii="Times New Roman"/>
        </w:rPr>
        <w:t>适用</w:t>
      </w:r>
      <w:r>
        <w:rPr>
          <w:rFonts w:hint="eastAsia" w:ascii="Times New Roman"/>
          <w:lang w:eastAsia="zh-CN"/>
        </w:rPr>
        <w:t>于同位素分离企业、核燃料元件生产企业</w:t>
      </w:r>
      <w:r>
        <w:rPr>
          <w:rFonts w:hint="eastAsia" w:ascii="Times New Roman"/>
        </w:rPr>
        <w:t>固体废物和固体废物浸出液铀</w:t>
      </w:r>
      <w:r>
        <w:rPr>
          <w:rFonts w:hint="eastAsia" w:ascii="Times New Roman"/>
          <w:lang w:val="en-US" w:eastAsia="zh-CN"/>
        </w:rPr>
        <w:t>-238</w:t>
      </w:r>
      <w:r>
        <w:rPr>
          <w:rFonts w:hint="eastAsia" w:ascii="Times New Roman"/>
        </w:rPr>
        <w:t>（</w:t>
      </w:r>
      <w:r>
        <w:rPr>
          <w:rFonts w:hint="eastAsia" w:ascii="Times New Roman"/>
          <w:vertAlign w:val="superscript"/>
          <w:lang w:val="en-US" w:eastAsia="zh-CN"/>
        </w:rPr>
        <w:t>238</w:t>
      </w:r>
      <w:r>
        <w:rPr>
          <w:rFonts w:hint="eastAsia" w:ascii="Times New Roman"/>
        </w:rPr>
        <w:t>U)、钍</w:t>
      </w:r>
      <w:r>
        <w:rPr>
          <w:rFonts w:hint="eastAsia" w:ascii="Times New Roman"/>
          <w:lang w:val="en-US" w:eastAsia="zh-CN"/>
        </w:rPr>
        <w:t>-232</w:t>
      </w:r>
      <w:r>
        <w:rPr>
          <w:rFonts w:hint="eastAsia" w:ascii="Times New Roman"/>
        </w:rPr>
        <w:t>(</w:t>
      </w:r>
      <w:r>
        <w:rPr>
          <w:rFonts w:hint="eastAsia" w:ascii="Times New Roman"/>
          <w:vertAlign w:val="superscript"/>
          <w:lang w:val="en-US" w:eastAsia="zh-CN"/>
        </w:rPr>
        <w:t>232</w:t>
      </w:r>
      <w:r>
        <w:rPr>
          <w:rFonts w:hint="eastAsia" w:ascii="Times New Roman"/>
        </w:rPr>
        <w:t>Th)的测定。</w:t>
      </w:r>
    </w:p>
    <w:p w14:paraId="45FCFE04">
      <w:pPr>
        <w:pStyle w:val="25"/>
        <w:rPr>
          <w:rFonts w:ascii="Times New Roman"/>
        </w:rPr>
      </w:pPr>
      <w:r>
        <w:rPr>
          <w:rFonts w:hint="eastAsia" w:ascii="Times New Roman"/>
        </w:rPr>
        <w:t>当固体废物样品量在0.05g时，</w:t>
      </w:r>
      <w:r>
        <w:rPr>
          <w:rFonts w:hint="eastAsia"/>
          <w:lang w:eastAsia="zh-CN"/>
        </w:rPr>
        <w:t>固体废物铀的检出限</w:t>
      </w:r>
      <w:r>
        <w:rPr>
          <w:rFonts w:hint="eastAsia"/>
          <w:lang w:val="en-US" w:eastAsia="zh-CN"/>
        </w:rPr>
        <w:t>0.008</w:t>
      </w:r>
      <w:r>
        <w:rPr>
          <w:rFonts w:hint="eastAsia"/>
        </w:rPr>
        <w:t>mg/kg</w:t>
      </w:r>
      <w:r>
        <w:rPr>
          <w:rFonts w:hint="eastAsia"/>
          <w:lang w:eastAsia="zh-CN"/>
        </w:rPr>
        <w:t>，测定下限</w:t>
      </w:r>
      <w:r>
        <w:rPr>
          <w:rFonts w:hint="eastAsia"/>
          <w:lang w:val="en-US" w:eastAsia="zh-CN"/>
        </w:rPr>
        <w:t>0.03</w:t>
      </w:r>
      <w:r>
        <w:rPr>
          <w:rFonts w:hint="eastAsia"/>
        </w:rPr>
        <w:t>mg/kg</w:t>
      </w:r>
      <w:r>
        <w:rPr>
          <w:rFonts w:hint="eastAsia"/>
          <w:lang w:eastAsia="zh-CN"/>
        </w:rPr>
        <w:t>；钍的检出限</w:t>
      </w:r>
      <w:r>
        <w:rPr>
          <w:rFonts w:hint="eastAsia"/>
          <w:lang w:val="en-US" w:eastAsia="zh-CN"/>
        </w:rPr>
        <w:t>0.2</w:t>
      </w:r>
      <w:r>
        <w:rPr>
          <w:rFonts w:hint="eastAsia"/>
        </w:rPr>
        <w:t>mg/kg</w:t>
      </w:r>
      <w:r>
        <w:rPr>
          <w:rFonts w:hint="eastAsia"/>
          <w:lang w:eastAsia="zh-CN"/>
        </w:rPr>
        <w:t>，测定下限</w:t>
      </w:r>
      <w:r>
        <w:rPr>
          <w:rFonts w:hint="eastAsia"/>
          <w:lang w:val="en-US" w:eastAsia="zh-CN"/>
        </w:rPr>
        <w:t>0.6</w:t>
      </w:r>
      <w:r>
        <w:rPr>
          <w:rFonts w:hint="eastAsia"/>
        </w:rPr>
        <w:t>mg/kg</w:t>
      </w:r>
      <w:r>
        <w:rPr>
          <w:rFonts w:hint="eastAsia" w:ascii="Times New Roman"/>
        </w:rPr>
        <w:t>。</w:t>
      </w:r>
      <w:r>
        <w:rPr>
          <w:rFonts w:hint="eastAsia" w:ascii="Times New Roman" w:hAnsi="Times New Roman" w:eastAsia="宋体" w:cs="Times New Roman"/>
        </w:rPr>
        <w:t>当固体废物浸出液取样体积25mL时，</w:t>
      </w:r>
      <w:r>
        <w:rPr>
          <w:rFonts w:hint="eastAsia" w:ascii="Times New Roman" w:hAnsi="Times New Roman" w:eastAsia="宋体" w:cs="Times New Roman"/>
          <w:lang w:eastAsia="zh-CN"/>
        </w:rPr>
        <w:t>固体废物浸出液铀的检出限</w:t>
      </w:r>
      <w:r>
        <w:rPr>
          <w:rFonts w:hint="eastAsia" w:ascii="Times New Roman" w:hAnsi="Times New Roman" w:eastAsia="宋体" w:cs="Times New Roman"/>
          <w:lang w:val="en-US" w:eastAsia="zh-CN"/>
        </w:rPr>
        <w:t>0.009</w:t>
      </w:r>
      <w:r>
        <w:rPr>
          <w:rFonts w:hint="default" w:ascii="Times New Roman" w:hAnsi="Times New Roman" w:eastAsia="宋体" w:cs="Times New Roman"/>
        </w:rPr>
        <w:t>μg/L</w:t>
      </w:r>
      <w:r>
        <w:rPr>
          <w:rFonts w:hint="eastAsia" w:ascii="Times New Roman" w:hAnsi="Times New Roman" w:eastAsia="宋体" w:cs="Times New Roman"/>
          <w:lang w:eastAsia="zh-CN"/>
        </w:rPr>
        <w:t>，测定下限</w:t>
      </w:r>
      <w:r>
        <w:rPr>
          <w:rFonts w:hint="eastAsia" w:ascii="Times New Roman" w:hAnsi="Times New Roman" w:eastAsia="宋体" w:cs="Times New Roman"/>
          <w:lang w:val="en-US" w:eastAsia="zh-CN"/>
        </w:rPr>
        <w:t>0.03</w:t>
      </w:r>
      <w:r>
        <w:rPr>
          <w:rFonts w:hint="default" w:ascii="Times New Roman" w:hAnsi="Times New Roman" w:eastAsia="宋体" w:cs="Times New Roman"/>
        </w:rPr>
        <w:t>μg/L</w:t>
      </w:r>
      <w:r>
        <w:rPr>
          <w:rFonts w:hint="eastAsia" w:ascii="Times New Roman" w:hAnsi="Times New Roman" w:eastAsia="宋体" w:cs="Times New Roman"/>
          <w:lang w:eastAsia="zh-CN"/>
        </w:rPr>
        <w:t>；钍的检出限</w:t>
      </w:r>
      <w:r>
        <w:rPr>
          <w:rFonts w:hint="eastAsia" w:ascii="Times New Roman" w:hAnsi="Times New Roman" w:eastAsia="宋体" w:cs="Times New Roman"/>
          <w:lang w:val="en-US" w:eastAsia="zh-CN"/>
        </w:rPr>
        <w:t>0.2</w:t>
      </w:r>
      <w:r>
        <w:rPr>
          <w:rFonts w:hint="default" w:ascii="Times New Roman" w:hAnsi="Times New Roman" w:eastAsia="宋体" w:cs="Times New Roman"/>
        </w:rPr>
        <w:t>μg/L</w:t>
      </w:r>
      <w:r>
        <w:rPr>
          <w:rFonts w:hint="eastAsia" w:ascii="Times New Roman" w:hAnsi="Times New Roman" w:eastAsia="宋体" w:cs="Times New Roman"/>
          <w:lang w:eastAsia="zh-CN"/>
        </w:rPr>
        <w:t>，测定下限</w:t>
      </w:r>
      <w:r>
        <w:rPr>
          <w:rFonts w:hint="eastAsia" w:ascii="Times New Roman" w:hAnsi="Times New Roman" w:eastAsia="宋体" w:cs="Times New Roman"/>
          <w:lang w:val="en-US" w:eastAsia="zh-CN"/>
        </w:rPr>
        <w:t>0.6</w:t>
      </w:r>
      <w:r>
        <w:rPr>
          <w:rFonts w:hint="default" w:ascii="Times New Roman" w:hAnsi="Times New Roman" w:eastAsia="宋体" w:cs="Times New Roman"/>
        </w:rPr>
        <w:t>μg/L</w:t>
      </w:r>
      <w:r>
        <w:rPr>
          <w:rFonts w:hint="eastAsia" w:ascii="Times New Roman" w:hAnsi="Times New Roman" w:eastAsia="宋体" w:cs="Times New Roman"/>
          <w:lang w:eastAsia="zh-CN"/>
        </w:rPr>
        <w:t>。</w:t>
      </w:r>
      <w:r>
        <w:rPr>
          <w:rFonts w:hint="eastAsia" w:ascii="Times New Roman"/>
        </w:rPr>
        <w:t>各元素的方法</w:t>
      </w:r>
      <w:r>
        <w:rPr>
          <w:rFonts w:hint="eastAsia" w:ascii="Times New Roman" w:hAnsi="Times New Roman" w:eastAsia="宋体" w:cs="Times New Roman"/>
          <w:lang w:eastAsia="zh-CN"/>
        </w:rPr>
        <w:t>检出限和测定下限</w:t>
      </w:r>
      <w:r>
        <w:rPr>
          <w:rFonts w:hint="eastAsia" w:ascii="Times New Roman"/>
        </w:rPr>
        <w:t>详见附录A。</w:t>
      </w:r>
    </w:p>
    <w:p w14:paraId="549DCFC2">
      <w:pPr>
        <w:pStyle w:val="32"/>
        <w:spacing w:before="312" w:after="312"/>
      </w:pPr>
      <w:bookmarkStart w:id="29" w:name="_Toc521918900"/>
      <w:bookmarkStart w:id="30" w:name="_Toc492547960"/>
      <w:bookmarkStart w:id="31" w:name="_Toc34988458"/>
      <w:bookmarkStart w:id="32" w:name="_Toc518575953"/>
      <w:bookmarkStart w:id="33" w:name="_Toc103189494"/>
      <w:bookmarkStart w:id="34" w:name="_Toc519238224"/>
      <w:bookmarkStart w:id="35" w:name="_Toc518576239"/>
      <w:bookmarkStart w:id="36" w:name="_Toc518632142"/>
      <w:r>
        <w:rPr>
          <w:rFonts w:hint="eastAsia"/>
        </w:rPr>
        <w:t>规范性引用文件</w:t>
      </w:r>
      <w:bookmarkEnd w:id="29"/>
      <w:bookmarkEnd w:id="30"/>
      <w:bookmarkEnd w:id="31"/>
      <w:bookmarkEnd w:id="32"/>
      <w:bookmarkEnd w:id="33"/>
      <w:bookmarkEnd w:id="34"/>
      <w:bookmarkEnd w:id="35"/>
      <w:bookmarkEnd w:id="36"/>
    </w:p>
    <w:p w14:paraId="260F191C">
      <w:pPr>
        <w:pStyle w:val="25"/>
        <w:rPr>
          <w:rFonts w:ascii="Times New Roman"/>
        </w:rPr>
      </w:pPr>
      <w:r>
        <w:rPr>
          <w:rFonts w:hint="eastAsia" w:ascii="Times New Roman"/>
          <w:lang w:eastAsia="zh-CN"/>
        </w:rPr>
        <w:t>本文件</w:t>
      </w:r>
      <w:r>
        <w:rPr>
          <w:rFonts w:hint="eastAsia" w:ascii="Times New Roman"/>
        </w:rPr>
        <w:t>引用了下列文件或其中条款。凡是未注明日期的引用文件，其</w:t>
      </w:r>
      <w:r>
        <w:rPr>
          <w:rFonts w:hint="eastAsia" w:ascii="Times New Roman"/>
          <w:lang w:eastAsia="zh-CN"/>
        </w:rPr>
        <w:t>有效</w:t>
      </w:r>
      <w:r>
        <w:rPr>
          <w:rFonts w:hint="eastAsia" w:ascii="Times New Roman"/>
        </w:rPr>
        <w:t>版本适用于</w:t>
      </w:r>
      <w:r>
        <w:rPr>
          <w:rFonts w:hint="eastAsia" w:ascii="Times New Roman"/>
          <w:lang w:eastAsia="zh-CN"/>
        </w:rPr>
        <w:t>本文件</w:t>
      </w:r>
      <w:r>
        <w:rPr>
          <w:rFonts w:ascii="Times New Roman"/>
        </w:rPr>
        <w:t>。</w:t>
      </w:r>
    </w:p>
    <w:p w14:paraId="3AF7EAD2">
      <w:pPr>
        <w:pStyle w:val="25"/>
        <w:rPr>
          <w:rFonts w:ascii="Times New Roman"/>
        </w:rPr>
      </w:pPr>
      <w:r>
        <w:rPr>
          <w:rFonts w:hint="eastAsia" w:ascii="Times New Roman"/>
        </w:rPr>
        <w:t>GB11338 水中钾-40的分析方法</w:t>
      </w:r>
    </w:p>
    <w:p w14:paraId="5B752E6F">
      <w:pPr>
        <w:pStyle w:val="25"/>
        <w:rPr>
          <w:rFonts w:ascii="Times New Roman"/>
        </w:rPr>
      </w:pPr>
      <w:r>
        <w:rPr>
          <w:rFonts w:hint="eastAsia" w:ascii="Times New Roman"/>
        </w:rPr>
        <w:t>GB5085 危险废物鉴别标准</w:t>
      </w:r>
    </w:p>
    <w:p w14:paraId="580D9C98">
      <w:pPr>
        <w:pStyle w:val="25"/>
        <w:rPr>
          <w:rFonts w:ascii="Times New Roman"/>
        </w:rPr>
      </w:pPr>
      <w:r>
        <w:rPr>
          <w:rFonts w:hint="eastAsia" w:ascii="Times New Roman"/>
        </w:rPr>
        <w:t>HJ557 固体废物 浸出毒性浸出方法 水平振荡法</w:t>
      </w:r>
    </w:p>
    <w:p w14:paraId="7FA309FD">
      <w:pPr>
        <w:pStyle w:val="25"/>
        <w:rPr>
          <w:rFonts w:ascii="Times New Roman"/>
        </w:rPr>
      </w:pPr>
      <w:r>
        <w:rPr>
          <w:rFonts w:hint="eastAsia" w:ascii="Times New Roman"/>
        </w:rPr>
        <w:t>HJ/T20 工业固体废物采样制样技术规范</w:t>
      </w:r>
    </w:p>
    <w:p w14:paraId="3125FCF6">
      <w:pPr>
        <w:pStyle w:val="25"/>
        <w:rPr>
          <w:rFonts w:ascii="Times New Roman"/>
        </w:rPr>
      </w:pPr>
      <w:r>
        <w:rPr>
          <w:rFonts w:hint="eastAsia" w:ascii="Times New Roman"/>
        </w:rPr>
        <w:t>HJ/T298 危险废物鉴别技术规范</w:t>
      </w:r>
    </w:p>
    <w:p w14:paraId="1D73B84C">
      <w:pPr>
        <w:pStyle w:val="25"/>
        <w:rPr>
          <w:rFonts w:ascii="Times New Roman"/>
        </w:rPr>
      </w:pPr>
      <w:r>
        <w:rPr>
          <w:rFonts w:hint="eastAsia" w:ascii="Times New Roman"/>
        </w:rPr>
        <w:t>HJ/T299 固体废物 浸出毒性浸出方法 硫酸硝酸法</w:t>
      </w:r>
    </w:p>
    <w:p w14:paraId="4375EB85">
      <w:pPr>
        <w:pStyle w:val="25"/>
        <w:rPr>
          <w:rFonts w:ascii="Times New Roman"/>
        </w:rPr>
      </w:pPr>
      <w:r>
        <w:rPr>
          <w:rFonts w:hint="eastAsia" w:ascii="Times New Roman"/>
        </w:rPr>
        <w:t>HJ/T300 固体废物 浸出毒性浸出方法 醋酸缓冲溶液法</w:t>
      </w:r>
    </w:p>
    <w:p w14:paraId="567E1839">
      <w:pPr>
        <w:pStyle w:val="25"/>
        <w:rPr>
          <w:rFonts w:ascii="Times New Roman"/>
        </w:rPr>
      </w:pPr>
      <w:r>
        <w:rPr>
          <w:rFonts w:hint="eastAsia" w:ascii="Times New Roman"/>
        </w:rPr>
        <w:t>EJ/T751 放射性矿产地质分析测试实验室质量保证规范</w:t>
      </w:r>
    </w:p>
    <w:p w14:paraId="27E1D554">
      <w:pPr>
        <w:pStyle w:val="32"/>
        <w:spacing w:before="312" w:after="312"/>
      </w:pPr>
      <w:bookmarkStart w:id="37" w:name="_Toc103189495"/>
      <w:bookmarkStart w:id="38" w:name="_Toc34988460"/>
      <w:r>
        <w:rPr>
          <w:rFonts w:hint="eastAsia"/>
          <w:lang w:eastAsia="zh-CN"/>
        </w:rPr>
        <w:t>术语和定义</w:t>
      </w:r>
    </w:p>
    <w:p w14:paraId="6901DEAC">
      <w:pPr>
        <w:pStyle w:val="25"/>
        <w:rPr>
          <w:rFonts w:hint="eastAsia"/>
          <w:lang w:eastAsia="zh-CN"/>
        </w:rPr>
      </w:pPr>
      <w:r>
        <w:rPr>
          <w:rFonts w:hint="eastAsia"/>
          <w:lang w:eastAsia="zh-CN"/>
        </w:rPr>
        <w:t>下列术语和定义适用于本文件。</w:t>
      </w:r>
    </w:p>
    <w:p w14:paraId="185690D8">
      <w:pPr>
        <w:pStyle w:val="25"/>
        <w:rPr>
          <w:rFonts w:hint="eastAsia"/>
          <w:lang w:eastAsia="zh-CN"/>
        </w:rPr>
      </w:pPr>
    </w:p>
    <w:p w14:paraId="3AB08BCA">
      <w:pPr>
        <w:pStyle w:val="33"/>
        <w:numPr>
          <w:ilvl w:val="1"/>
          <w:numId w:val="0"/>
        </w:numPr>
        <w:bidi w:val="0"/>
        <w:ind w:leftChars="0"/>
        <w:rPr>
          <w:rFonts w:hint="eastAsia"/>
          <w:lang w:val="en-US" w:eastAsia="zh-CN"/>
        </w:rPr>
      </w:pPr>
      <w:r>
        <w:rPr>
          <w:rFonts w:hint="eastAsia"/>
          <w:lang w:val="en-US" w:eastAsia="zh-CN"/>
        </w:rPr>
        <w:t>3.1 固体废物</w:t>
      </w:r>
    </w:p>
    <w:p w14:paraId="064A4614">
      <w:pPr>
        <w:pStyle w:val="25"/>
        <w:rPr>
          <w:rFonts w:hint="eastAsia"/>
          <w:lang w:val="en-US" w:eastAsia="zh-CN"/>
        </w:rPr>
      </w:pPr>
      <w:r>
        <w:rPr>
          <w:rFonts w:hint="eastAsia"/>
          <w:lang w:val="en-US" w:eastAsia="zh-CN"/>
        </w:rPr>
        <w:t>是指在生产、生活和其它活动中产生的丧失原有利用价值或者未丧失利用价值但被抛弃或者放弃的固态、半固态的物品、物质以及法律、行政法规规定纳入固体废物管理的物品、物质。</w:t>
      </w:r>
    </w:p>
    <w:p w14:paraId="59EFF4DB">
      <w:pPr>
        <w:pStyle w:val="25"/>
        <w:rPr>
          <w:rFonts w:hint="eastAsia"/>
          <w:lang w:val="en-US" w:eastAsia="zh-CN"/>
        </w:rPr>
      </w:pPr>
    </w:p>
    <w:p w14:paraId="7E35E041">
      <w:pPr>
        <w:pStyle w:val="25"/>
        <w:ind w:firstLine="0" w:firstLineChars="0"/>
        <w:rPr>
          <w:rFonts w:hint="default" w:ascii="黑体" w:eastAsia="黑体"/>
          <w:lang w:val="en-US" w:eastAsia="zh-CN"/>
        </w:rPr>
      </w:pPr>
      <w:r>
        <w:rPr>
          <w:rFonts w:hint="eastAsia" w:ascii="黑体" w:eastAsia="黑体"/>
          <w:lang w:val="en-US" w:eastAsia="zh-CN"/>
        </w:rPr>
        <w:t>3.2  浸出</w:t>
      </w:r>
    </w:p>
    <w:p w14:paraId="11C5BC54">
      <w:pPr>
        <w:pStyle w:val="25"/>
        <w:ind w:firstLine="630" w:firstLineChars="300"/>
        <w:rPr>
          <w:rFonts w:hint="eastAsia" w:hAnsi="宋体" w:cs="宋体"/>
          <w:lang w:val="en-US" w:eastAsia="zh-CN"/>
        </w:rPr>
      </w:pPr>
      <w:r>
        <w:rPr>
          <w:rFonts w:hint="eastAsia" w:hAnsi="宋体" w:cs="宋体"/>
          <w:lang w:val="en-US" w:eastAsia="zh-CN"/>
        </w:rPr>
        <w:t>可溶性的组份溶解后，从固相进入液相的过程。</w:t>
      </w:r>
    </w:p>
    <w:p w14:paraId="47675C28">
      <w:pPr>
        <w:pStyle w:val="25"/>
        <w:rPr>
          <w:rFonts w:hint="eastAsia" w:hAnsi="宋体" w:cs="宋体"/>
          <w:lang w:val="en-US" w:eastAsia="zh-CN"/>
        </w:rPr>
      </w:pPr>
    </w:p>
    <w:p w14:paraId="6D3A942A">
      <w:pPr>
        <w:pStyle w:val="25"/>
        <w:ind w:firstLine="0" w:firstLineChars="0"/>
        <w:rPr>
          <w:rFonts w:hint="eastAsia" w:ascii="黑体" w:eastAsia="黑体"/>
          <w:lang w:val="en-US" w:eastAsia="zh-CN"/>
        </w:rPr>
      </w:pPr>
      <w:r>
        <w:rPr>
          <w:rFonts w:hint="eastAsia" w:ascii="黑体" w:eastAsia="黑体"/>
          <w:lang w:val="en-US" w:eastAsia="zh-CN"/>
        </w:rPr>
        <w:t>3.3  浸出液</w:t>
      </w:r>
    </w:p>
    <w:p w14:paraId="0200DBD5">
      <w:pPr>
        <w:pStyle w:val="25"/>
        <w:ind w:firstLine="0" w:firstLineChars="0"/>
        <w:rPr>
          <w:rFonts w:hint="eastAsia" w:ascii="黑体" w:eastAsia="黑体"/>
          <w:lang w:val="en-US" w:eastAsia="zh-CN"/>
        </w:rPr>
      </w:pPr>
    </w:p>
    <w:p w14:paraId="763EB833">
      <w:pPr>
        <w:pStyle w:val="25"/>
        <w:ind w:firstLine="0" w:firstLineChars="0"/>
        <w:rPr>
          <w:rFonts w:hint="default" w:ascii="黑体" w:eastAsia="黑体"/>
          <w:lang w:val="en-US" w:eastAsia="zh-CN"/>
        </w:rPr>
      </w:pPr>
      <w:r>
        <w:rPr>
          <w:rFonts w:hint="eastAsia" w:ascii="黑体" w:eastAsia="黑体"/>
          <w:lang w:val="en-US" w:eastAsia="zh-CN"/>
        </w:rPr>
        <w:t xml:space="preserve">     </w:t>
      </w:r>
      <w:r>
        <w:rPr>
          <w:rFonts w:hint="eastAsia" w:hAnsi="宋体" w:cs="宋体"/>
          <w:lang w:val="en-US" w:eastAsia="zh-CN"/>
        </w:rPr>
        <w:t>固体废物浸出所得到的液体</w:t>
      </w:r>
      <w:r>
        <w:rPr>
          <w:rFonts w:hint="eastAsia" w:ascii="黑体" w:eastAsia="黑体"/>
          <w:lang w:val="en-US" w:eastAsia="zh-CN"/>
        </w:rPr>
        <w:t>。</w:t>
      </w:r>
    </w:p>
    <w:p w14:paraId="481D07B7">
      <w:pPr>
        <w:pStyle w:val="32"/>
        <w:spacing w:before="312" w:after="312"/>
      </w:pPr>
      <w:r>
        <w:rPr>
          <w:rFonts w:hint="eastAsia"/>
        </w:rPr>
        <w:t>方法原理</w:t>
      </w:r>
      <w:bookmarkEnd w:id="37"/>
    </w:p>
    <w:p w14:paraId="713E05B4">
      <w:pPr>
        <w:pStyle w:val="25"/>
        <w:rPr>
          <w:rFonts w:ascii="Times New Roman"/>
        </w:rPr>
      </w:pPr>
      <w:r>
        <w:rPr>
          <w:rFonts w:hint="eastAsia"/>
        </w:rPr>
        <w:t>固体废物或固体废物浸出液经消解预处理后，采用</w:t>
      </w:r>
      <w:r>
        <w:rPr>
          <w:rFonts w:ascii="Times New Roman"/>
        </w:rPr>
        <w:t>电感耦合等离子</w:t>
      </w:r>
      <w:r>
        <w:rPr>
          <w:rFonts w:hint="eastAsia" w:ascii="Times New Roman"/>
        </w:rPr>
        <w:t>体质</w:t>
      </w:r>
      <w:r>
        <w:rPr>
          <w:rFonts w:ascii="Times New Roman"/>
        </w:rPr>
        <w:t>谱</w:t>
      </w:r>
      <w:r>
        <w:rPr>
          <w:rFonts w:hint="eastAsia" w:ascii="Times New Roman"/>
        </w:rPr>
        <w:t>仪进行检测，根据元素的质谱图或特征离子进行定性，内标法定量。</w:t>
      </w:r>
    </w:p>
    <w:p w14:paraId="6B0418B3">
      <w:pPr>
        <w:pStyle w:val="25"/>
        <w:rPr>
          <w:rFonts w:ascii="Times New Roman"/>
        </w:rPr>
      </w:pPr>
    </w:p>
    <w:p w14:paraId="7DA4E84B">
      <w:pPr>
        <w:pStyle w:val="25"/>
        <w:ind w:firstLine="0" w:firstLineChars="0"/>
        <w:jc w:val="left"/>
        <w:rPr>
          <w:rFonts w:ascii="黑体" w:eastAsia="黑体"/>
        </w:rPr>
      </w:pPr>
      <w:r>
        <w:rPr>
          <w:rFonts w:hint="eastAsia" w:ascii="Times New Roman"/>
          <w:lang w:val="en-US" w:eastAsia="zh-CN"/>
        </w:rPr>
        <w:t>5</w:t>
      </w:r>
      <w:r>
        <w:rPr>
          <w:rFonts w:hint="eastAsia" w:ascii="Times New Roman"/>
        </w:rPr>
        <w:t xml:space="preserve">  </w:t>
      </w:r>
      <w:r>
        <w:rPr>
          <w:rFonts w:hint="eastAsia" w:ascii="黑体" w:eastAsia="黑体"/>
        </w:rPr>
        <w:t>干扰和消除</w:t>
      </w:r>
    </w:p>
    <w:p w14:paraId="2150E638">
      <w:pPr>
        <w:pStyle w:val="25"/>
        <w:ind w:firstLine="0" w:firstLineChars="0"/>
        <w:rPr>
          <w:rFonts w:ascii="黑体" w:eastAsia="黑体"/>
        </w:rPr>
      </w:pPr>
    </w:p>
    <w:p w14:paraId="38A09A88">
      <w:pPr>
        <w:pStyle w:val="25"/>
        <w:ind w:firstLine="0" w:firstLineChars="0"/>
        <w:rPr>
          <w:rFonts w:hint="eastAsia" w:ascii="黑体" w:eastAsia="黑体"/>
        </w:rPr>
      </w:pPr>
      <w:r>
        <w:rPr>
          <w:rFonts w:hint="eastAsia" w:ascii="黑体" w:eastAsia="黑体"/>
          <w:lang w:val="en-US" w:eastAsia="zh-CN"/>
        </w:rPr>
        <w:t>5</w:t>
      </w:r>
      <w:r>
        <w:rPr>
          <w:rFonts w:hint="eastAsia" w:ascii="黑体" w:eastAsia="黑体"/>
        </w:rPr>
        <w:t>.1 质谱型干扰</w:t>
      </w:r>
    </w:p>
    <w:p w14:paraId="3EA66138">
      <w:pPr>
        <w:pStyle w:val="25"/>
        <w:ind w:firstLine="0" w:firstLineChars="0"/>
        <w:rPr>
          <w:rFonts w:ascii="黑体" w:eastAsia="黑体"/>
        </w:rPr>
      </w:pPr>
    </w:p>
    <w:p w14:paraId="28D01920">
      <w:pPr>
        <w:pStyle w:val="25"/>
      </w:pPr>
      <w:r>
        <w:rPr>
          <w:rFonts w:hint="eastAsia"/>
        </w:rPr>
        <w:t>质谱型干扰主要包括多原子离子干扰、同量异位素干扰、氧化物和双电荷干扰等。多原子离子干扰是ICP-MS最主要的干扰来源，可以利用干扰校正方程、仪器优化以及碰撞反应池技术加以解决。同量异位素干扰可以使用干扰校正方程进行校正，或在分析前对样品进行化学分离等方法进行消除。氧化物和双电荷干扰可通过调节仪器参数降低影响。</w:t>
      </w:r>
    </w:p>
    <w:p w14:paraId="7F452A62">
      <w:pPr>
        <w:pStyle w:val="25"/>
      </w:pPr>
    </w:p>
    <w:p w14:paraId="45D6C313">
      <w:pPr>
        <w:pStyle w:val="25"/>
        <w:ind w:firstLine="0" w:firstLineChars="0"/>
        <w:rPr>
          <w:rFonts w:ascii="黑体" w:eastAsia="黑体"/>
        </w:rPr>
      </w:pPr>
      <w:r>
        <w:rPr>
          <w:rFonts w:hint="eastAsia" w:ascii="黑体" w:eastAsia="黑体"/>
          <w:lang w:val="en-US" w:eastAsia="zh-CN"/>
        </w:rPr>
        <w:t>5</w:t>
      </w:r>
      <w:r>
        <w:rPr>
          <w:rFonts w:hint="eastAsia" w:ascii="黑体" w:eastAsia="黑体"/>
        </w:rPr>
        <w:t>.2 非质谱型干扰</w:t>
      </w:r>
    </w:p>
    <w:p w14:paraId="76E7F0F9">
      <w:pPr>
        <w:pStyle w:val="25"/>
        <w:ind w:firstLine="0" w:firstLineChars="0"/>
        <w:rPr>
          <w:rFonts w:ascii="黑体" w:eastAsia="黑体"/>
        </w:rPr>
      </w:pPr>
    </w:p>
    <w:p w14:paraId="5ACF987F">
      <w:pPr>
        <w:pStyle w:val="25"/>
      </w:pPr>
      <w:r>
        <w:rPr>
          <w:rFonts w:hint="eastAsia"/>
        </w:rPr>
        <w:t>非质谱干扰主要包括基体抑制干扰、空间电荷效应干扰、物理效应干扰等。非质谱干扰程度与样品基体性质有关，可通过内标法、仪器条件最佳化或标准加入法等措施消除。</w:t>
      </w:r>
    </w:p>
    <w:p w14:paraId="19F55ECC">
      <w:pPr>
        <w:pStyle w:val="32"/>
        <w:numPr>
          <w:ilvl w:val="0"/>
          <w:numId w:val="0"/>
        </w:numPr>
        <w:spacing w:before="312" w:after="312"/>
      </w:pPr>
      <w:bookmarkStart w:id="39" w:name="_Toc103189496"/>
      <w:r>
        <w:rPr>
          <w:rFonts w:hint="eastAsia" w:ascii="宋体" w:hAnsi="宋体" w:eastAsia="宋体" w:cs="宋体"/>
          <w:b/>
          <w:bCs/>
          <w:lang w:val="en-US" w:eastAsia="zh-CN"/>
        </w:rPr>
        <w:t>6</w:t>
      </w:r>
      <w:r>
        <w:rPr>
          <w:rFonts w:hint="eastAsia" w:ascii="宋体" w:hAnsi="宋体" w:eastAsia="宋体" w:cs="宋体"/>
          <w:b/>
          <w:bCs/>
        </w:rPr>
        <w:t xml:space="preserve"> </w:t>
      </w:r>
      <w:r>
        <w:t>试剂</w:t>
      </w:r>
      <w:r>
        <w:rPr>
          <w:rFonts w:hint="eastAsia"/>
        </w:rPr>
        <w:t>和</w:t>
      </w:r>
      <w:r>
        <w:t>材料</w:t>
      </w:r>
      <w:bookmarkEnd w:id="39"/>
    </w:p>
    <w:p w14:paraId="7B6EB0B8">
      <w:pPr>
        <w:pStyle w:val="25"/>
      </w:pPr>
      <w:r>
        <w:rPr>
          <w:rFonts w:hint="eastAsia"/>
        </w:rPr>
        <w:t>除非</w:t>
      </w:r>
      <w:r>
        <w:t>另有说明，</w:t>
      </w:r>
      <w:r>
        <w:rPr>
          <w:rFonts w:hint="eastAsia"/>
        </w:rPr>
        <w:t>分析时均使用符合国家标准的优级纯化学试剂，实验用水为新制备的去离子水。</w:t>
      </w:r>
    </w:p>
    <w:p w14:paraId="76BF15E4">
      <w:pPr>
        <w:pStyle w:val="34"/>
        <w:numPr>
          <w:ilvl w:val="1"/>
          <w:numId w:val="0"/>
        </w:numPr>
        <w:rPr>
          <w:rFonts w:ascii="Times New Roman"/>
        </w:rPr>
      </w:pPr>
      <w:r>
        <w:rPr>
          <w:rFonts w:hint="eastAsia" w:hAnsi="宋体" w:cs="宋体"/>
          <w:b/>
          <w:bCs/>
          <w:lang w:val="en-US" w:eastAsia="zh-CN"/>
        </w:rPr>
        <w:t>6</w:t>
      </w:r>
      <w:r>
        <w:rPr>
          <w:rFonts w:hint="eastAsia" w:hAnsi="宋体" w:cs="宋体"/>
          <w:b/>
          <w:bCs/>
        </w:rPr>
        <w:t xml:space="preserve">.1 </w:t>
      </w:r>
      <w:r>
        <w:rPr>
          <w:rFonts w:hint="eastAsia" w:ascii="Times New Roman"/>
        </w:rPr>
        <w:t>盐酸：</w:t>
      </w:r>
      <w:r>
        <w:rPr>
          <w:rFonts w:ascii="Times New Roman" w:eastAsia="黑体"/>
        </w:rPr>
        <w:t>ρ</w:t>
      </w:r>
      <w:r>
        <w:rPr>
          <w:rFonts w:hint="eastAsia" w:ascii="Times New Roman" w:eastAsia="黑体"/>
        </w:rPr>
        <w:t>(HCl)</w:t>
      </w:r>
      <w:r>
        <w:rPr>
          <w:rFonts w:ascii="Times New Roman" w:eastAsia="黑体"/>
        </w:rPr>
        <w:t>=1</w:t>
      </w:r>
      <w:r>
        <w:rPr>
          <w:rFonts w:hint="eastAsia" w:ascii="Times New Roman" w:eastAsia="黑体"/>
        </w:rPr>
        <w:t>.19</w:t>
      </w:r>
      <w:r>
        <w:rPr>
          <w:rFonts w:ascii="Times New Roman"/>
        </w:rPr>
        <w:t>g/</w:t>
      </w:r>
      <w:r>
        <w:rPr>
          <w:rFonts w:hint="eastAsia" w:ascii="Times New Roman"/>
        </w:rPr>
        <w:t>m</w:t>
      </w:r>
      <w:r>
        <w:rPr>
          <w:rFonts w:ascii="Times New Roman"/>
        </w:rPr>
        <w:t>L</w:t>
      </w:r>
      <w:r>
        <w:rPr>
          <w:rFonts w:hint="eastAsia" w:ascii="Times New Roman"/>
        </w:rPr>
        <w:t>,优级纯或高纯。</w:t>
      </w:r>
    </w:p>
    <w:p w14:paraId="2F2F9818">
      <w:pPr>
        <w:pStyle w:val="34"/>
        <w:numPr>
          <w:ilvl w:val="1"/>
          <w:numId w:val="0"/>
        </w:numPr>
        <w:rPr>
          <w:rFonts w:ascii="Times New Roman"/>
        </w:rPr>
      </w:pPr>
      <w:r>
        <w:rPr>
          <w:rFonts w:hint="eastAsia" w:hAnsi="宋体" w:cs="宋体"/>
          <w:b/>
          <w:bCs/>
          <w:lang w:val="en-US" w:eastAsia="zh-CN"/>
        </w:rPr>
        <w:t>6</w:t>
      </w:r>
      <w:r>
        <w:rPr>
          <w:rFonts w:hint="eastAsia" w:hAnsi="宋体" w:cs="宋体"/>
          <w:b/>
          <w:bCs/>
        </w:rPr>
        <w:t>.2</w:t>
      </w:r>
      <w:r>
        <w:rPr>
          <w:rFonts w:hint="eastAsia" w:ascii="Times New Roman"/>
        </w:rPr>
        <w:t xml:space="preserve"> 硝酸：</w:t>
      </w:r>
      <w:r>
        <w:rPr>
          <w:rFonts w:ascii="Times New Roman" w:eastAsia="黑体"/>
        </w:rPr>
        <w:t>ρ</w:t>
      </w:r>
      <w:r>
        <w:rPr>
          <w:rFonts w:hint="eastAsia" w:ascii="Times New Roman" w:eastAsia="黑体"/>
        </w:rPr>
        <w:t>(HNO</w:t>
      </w:r>
      <w:r>
        <w:rPr>
          <w:rFonts w:hint="eastAsia" w:ascii="Times New Roman" w:eastAsia="黑体"/>
          <w:vertAlign w:val="subscript"/>
        </w:rPr>
        <w:t>3</w:t>
      </w:r>
      <w:r>
        <w:rPr>
          <w:rFonts w:hint="eastAsia" w:ascii="Times New Roman" w:eastAsia="黑体"/>
        </w:rPr>
        <w:t>)</w:t>
      </w:r>
      <w:r>
        <w:rPr>
          <w:rFonts w:ascii="Times New Roman" w:eastAsia="黑体"/>
        </w:rPr>
        <w:t>=1</w:t>
      </w:r>
      <w:r>
        <w:rPr>
          <w:rFonts w:hint="eastAsia" w:ascii="Times New Roman" w:eastAsia="黑体"/>
        </w:rPr>
        <w:t>.42</w:t>
      </w:r>
      <w:r>
        <w:rPr>
          <w:rFonts w:ascii="Times New Roman"/>
        </w:rPr>
        <w:t>g/</w:t>
      </w:r>
      <w:r>
        <w:rPr>
          <w:rFonts w:hint="eastAsia" w:ascii="Times New Roman"/>
        </w:rPr>
        <w:t>m</w:t>
      </w:r>
      <w:r>
        <w:rPr>
          <w:rFonts w:ascii="Times New Roman"/>
        </w:rPr>
        <w:t>L</w:t>
      </w:r>
      <w:r>
        <w:rPr>
          <w:rFonts w:hint="eastAsia" w:ascii="Times New Roman"/>
        </w:rPr>
        <w:t>,优级纯或高纯。</w:t>
      </w:r>
    </w:p>
    <w:p w14:paraId="747F8243">
      <w:pPr>
        <w:pStyle w:val="34"/>
        <w:numPr>
          <w:ilvl w:val="1"/>
          <w:numId w:val="0"/>
        </w:numPr>
        <w:rPr>
          <w:rFonts w:ascii="Times New Roman"/>
        </w:rPr>
      </w:pPr>
      <w:r>
        <w:rPr>
          <w:rFonts w:hint="eastAsia" w:hAnsi="宋体" w:cs="宋体"/>
          <w:b/>
          <w:bCs/>
          <w:lang w:val="en-US" w:eastAsia="zh-CN"/>
        </w:rPr>
        <w:t>6</w:t>
      </w:r>
      <w:r>
        <w:rPr>
          <w:rFonts w:hint="eastAsia" w:hAnsi="宋体" w:cs="宋体"/>
          <w:b/>
          <w:bCs/>
        </w:rPr>
        <w:t>.3</w:t>
      </w:r>
      <w:r>
        <w:rPr>
          <w:rFonts w:hint="eastAsia" w:ascii="Times New Roman"/>
        </w:rPr>
        <w:t xml:space="preserve"> 氢氟酸：</w:t>
      </w:r>
      <w:r>
        <w:rPr>
          <w:rFonts w:ascii="Times New Roman" w:eastAsia="黑体"/>
        </w:rPr>
        <w:t>ρ</w:t>
      </w:r>
      <w:r>
        <w:rPr>
          <w:rFonts w:hint="eastAsia" w:ascii="Times New Roman" w:eastAsia="黑体"/>
        </w:rPr>
        <w:t>(HF)</w:t>
      </w:r>
      <w:r>
        <w:rPr>
          <w:rFonts w:ascii="Times New Roman" w:eastAsia="黑体"/>
        </w:rPr>
        <w:t>=1</w:t>
      </w:r>
      <w:r>
        <w:rPr>
          <w:rFonts w:hint="eastAsia" w:ascii="Times New Roman" w:eastAsia="黑体"/>
        </w:rPr>
        <w:t>.19</w:t>
      </w:r>
      <w:r>
        <w:rPr>
          <w:rFonts w:ascii="Times New Roman"/>
        </w:rPr>
        <w:t>g/</w:t>
      </w:r>
      <w:r>
        <w:rPr>
          <w:rFonts w:hint="eastAsia" w:ascii="Times New Roman"/>
        </w:rPr>
        <w:t>m</w:t>
      </w:r>
      <w:r>
        <w:rPr>
          <w:rFonts w:ascii="Times New Roman"/>
        </w:rPr>
        <w:t>L</w:t>
      </w:r>
      <w:r>
        <w:rPr>
          <w:rFonts w:hint="eastAsia" w:ascii="Times New Roman"/>
        </w:rPr>
        <w:t>,优级纯或高纯。</w:t>
      </w:r>
    </w:p>
    <w:p w14:paraId="51C55CB0">
      <w:pPr>
        <w:pStyle w:val="34"/>
        <w:numPr>
          <w:ilvl w:val="1"/>
          <w:numId w:val="0"/>
        </w:numPr>
        <w:rPr>
          <w:rFonts w:ascii="Times New Roman"/>
        </w:rPr>
      </w:pPr>
      <w:r>
        <w:rPr>
          <w:rFonts w:hint="eastAsia" w:hAnsi="宋体" w:cs="宋体"/>
          <w:b/>
          <w:bCs/>
          <w:lang w:val="en-US" w:eastAsia="zh-CN"/>
        </w:rPr>
        <w:t>6</w:t>
      </w:r>
      <w:r>
        <w:rPr>
          <w:rFonts w:hint="eastAsia" w:hAnsi="宋体" w:cs="宋体"/>
          <w:b/>
          <w:bCs/>
        </w:rPr>
        <w:t>.4</w:t>
      </w:r>
      <w:r>
        <w:rPr>
          <w:rFonts w:hint="eastAsia" w:ascii="Times New Roman"/>
        </w:rPr>
        <w:t xml:space="preserve"> 高氯酸：</w:t>
      </w:r>
      <w:r>
        <w:rPr>
          <w:rFonts w:ascii="Times New Roman" w:eastAsia="黑体"/>
        </w:rPr>
        <w:t>ρ</w:t>
      </w:r>
      <w:r>
        <w:rPr>
          <w:rFonts w:hint="eastAsia" w:ascii="Times New Roman" w:eastAsia="黑体"/>
        </w:rPr>
        <w:t>(HClO</w:t>
      </w:r>
      <w:r>
        <w:rPr>
          <w:rFonts w:hint="eastAsia" w:ascii="Times New Roman" w:eastAsia="黑体"/>
          <w:vertAlign w:val="subscript"/>
        </w:rPr>
        <w:t>4</w:t>
      </w:r>
      <w:r>
        <w:rPr>
          <w:rFonts w:hint="eastAsia" w:ascii="Times New Roman" w:eastAsia="黑体"/>
        </w:rPr>
        <w:t>)</w:t>
      </w:r>
      <w:r>
        <w:rPr>
          <w:rFonts w:ascii="Times New Roman" w:eastAsia="黑体"/>
        </w:rPr>
        <w:t>=1</w:t>
      </w:r>
      <w:r>
        <w:rPr>
          <w:rFonts w:hint="eastAsia" w:ascii="Times New Roman" w:eastAsia="黑体"/>
        </w:rPr>
        <w:t>.68</w:t>
      </w:r>
      <w:r>
        <w:rPr>
          <w:rFonts w:ascii="Times New Roman"/>
        </w:rPr>
        <w:t>g/</w:t>
      </w:r>
      <w:r>
        <w:rPr>
          <w:rFonts w:hint="eastAsia" w:ascii="Times New Roman"/>
        </w:rPr>
        <w:t>m</w:t>
      </w:r>
      <w:r>
        <w:rPr>
          <w:rFonts w:ascii="Times New Roman"/>
        </w:rPr>
        <w:t>L</w:t>
      </w:r>
      <w:r>
        <w:rPr>
          <w:rFonts w:hint="eastAsia" w:ascii="Times New Roman"/>
        </w:rPr>
        <w:t>,优级纯或高纯。</w:t>
      </w:r>
    </w:p>
    <w:p w14:paraId="527A3F77">
      <w:pPr>
        <w:pStyle w:val="34"/>
        <w:numPr>
          <w:ilvl w:val="1"/>
          <w:numId w:val="0"/>
        </w:numPr>
        <w:rPr>
          <w:rFonts w:ascii="Times New Roman"/>
        </w:rPr>
      </w:pPr>
      <w:r>
        <w:rPr>
          <w:rFonts w:hint="eastAsia" w:hAnsi="宋体" w:cs="宋体"/>
          <w:b/>
          <w:bCs/>
          <w:lang w:val="en-US" w:eastAsia="zh-CN"/>
        </w:rPr>
        <w:t>6</w:t>
      </w:r>
      <w:r>
        <w:rPr>
          <w:rFonts w:hint="eastAsia" w:hAnsi="宋体" w:cs="宋体"/>
          <w:b/>
          <w:bCs/>
        </w:rPr>
        <w:t>.5</w:t>
      </w:r>
      <w:r>
        <w:rPr>
          <w:rFonts w:hint="eastAsia" w:ascii="Times New Roman"/>
        </w:rPr>
        <w:t xml:space="preserve"> 硝酸溶液：5+95。</w:t>
      </w:r>
    </w:p>
    <w:p w14:paraId="4C614E08">
      <w:pPr>
        <w:pStyle w:val="34"/>
        <w:numPr>
          <w:ilvl w:val="1"/>
          <w:numId w:val="0"/>
        </w:numPr>
        <w:rPr>
          <w:rFonts w:ascii="Times New Roman"/>
        </w:rPr>
      </w:pPr>
      <w:r>
        <w:rPr>
          <w:rFonts w:hint="eastAsia" w:hAnsi="宋体" w:cs="宋体"/>
          <w:b/>
          <w:bCs/>
          <w:lang w:val="en-US" w:eastAsia="zh-CN"/>
        </w:rPr>
        <w:t>6</w:t>
      </w:r>
      <w:r>
        <w:rPr>
          <w:rFonts w:hint="eastAsia" w:hAnsi="宋体" w:cs="宋体"/>
          <w:b/>
          <w:bCs/>
        </w:rPr>
        <w:t>.6</w:t>
      </w:r>
      <w:r>
        <w:rPr>
          <w:rFonts w:hint="eastAsia" w:ascii="Times New Roman"/>
        </w:rPr>
        <w:t xml:space="preserve"> 硝酸溶液：2+98。</w:t>
      </w:r>
    </w:p>
    <w:p w14:paraId="606FFBBB">
      <w:pPr>
        <w:pStyle w:val="34"/>
        <w:numPr>
          <w:ilvl w:val="1"/>
          <w:numId w:val="0"/>
        </w:numPr>
        <w:rPr>
          <w:rFonts w:ascii="Times New Roman"/>
        </w:rPr>
      </w:pPr>
      <w:r>
        <w:rPr>
          <w:rFonts w:hint="eastAsia" w:hAnsi="宋体" w:cs="宋体"/>
          <w:b/>
          <w:bCs/>
          <w:lang w:val="en-US" w:eastAsia="zh-CN"/>
        </w:rPr>
        <w:t>6</w:t>
      </w:r>
      <w:r>
        <w:rPr>
          <w:rFonts w:hint="eastAsia" w:hAnsi="宋体" w:cs="宋体"/>
          <w:b/>
          <w:bCs/>
        </w:rPr>
        <w:t>.7</w:t>
      </w:r>
      <w:r>
        <w:rPr>
          <w:rFonts w:hint="eastAsia" w:ascii="Times New Roman"/>
        </w:rPr>
        <w:t xml:space="preserve"> 标准溶液：</w:t>
      </w:r>
      <w:r>
        <w:rPr>
          <w:rFonts w:ascii="Times New Roman" w:eastAsia="黑体"/>
        </w:rPr>
        <w:t>ρ=1</w:t>
      </w:r>
      <w:r>
        <w:rPr>
          <w:rFonts w:hint="eastAsia" w:ascii="Times New Roman" w:eastAsia="黑体"/>
        </w:rPr>
        <w:t>.00m</w:t>
      </w:r>
      <w:r>
        <w:rPr>
          <w:rFonts w:ascii="Times New Roman"/>
        </w:rPr>
        <w:t>g/</w:t>
      </w:r>
      <w:r>
        <w:rPr>
          <w:rFonts w:hint="eastAsia" w:ascii="Times New Roman"/>
        </w:rPr>
        <w:t>m</w:t>
      </w:r>
      <w:r>
        <w:rPr>
          <w:rFonts w:ascii="Times New Roman"/>
        </w:rPr>
        <w:t>L</w:t>
      </w:r>
    </w:p>
    <w:p w14:paraId="3B1B93D4">
      <w:pPr>
        <w:pStyle w:val="34"/>
        <w:numPr>
          <w:ilvl w:val="1"/>
          <w:numId w:val="0"/>
        </w:numPr>
        <w:rPr>
          <w:rFonts w:ascii="Times New Roman"/>
        </w:rPr>
      </w:pPr>
      <w:r>
        <w:rPr>
          <w:rFonts w:hint="eastAsia" w:hAnsi="宋体" w:cs="宋体"/>
          <w:b/>
          <w:bCs/>
          <w:lang w:val="en-US" w:eastAsia="zh-CN"/>
        </w:rPr>
        <w:t>6</w:t>
      </w:r>
      <w:r>
        <w:rPr>
          <w:rFonts w:hint="eastAsia" w:hAnsi="宋体" w:cs="宋体"/>
          <w:b/>
          <w:bCs/>
        </w:rPr>
        <w:t>.7.1</w:t>
      </w:r>
      <w:r>
        <w:rPr>
          <w:rFonts w:hint="eastAsia" w:ascii="Times New Roman"/>
        </w:rPr>
        <w:t xml:space="preserve"> 铀标准贮备溶液：</w:t>
      </w:r>
      <w:r>
        <w:rPr>
          <w:rFonts w:ascii="Times New Roman" w:eastAsia="黑体"/>
        </w:rPr>
        <w:t>ρ</w:t>
      </w:r>
      <w:r>
        <w:rPr>
          <w:rFonts w:hint="eastAsia" w:ascii="Times New Roman" w:eastAsia="黑体"/>
        </w:rPr>
        <w:t>(U)</w:t>
      </w:r>
      <w:r>
        <w:rPr>
          <w:rFonts w:ascii="Times New Roman" w:eastAsia="黑体"/>
        </w:rPr>
        <w:t>=1</w:t>
      </w:r>
      <w:r>
        <w:rPr>
          <w:rFonts w:hint="eastAsia" w:ascii="Times New Roman" w:eastAsia="黑体"/>
        </w:rPr>
        <w:t>.00m</w:t>
      </w:r>
      <w:r>
        <w:rPr>
          <w:rFonts w:ascii="Times New Roman"/>
        </w:rPr>
        <w:t>g/</w:t>
      </w:r>
      <w:r>
        <w:rPr>
          <w:rFonts w:hint="eastAsia" w:ascii="Times New Roman"/>
        </w:rPr>
        <w:t>m</w:t>
      </w:r>
      <w:r>
        <w:rPr>
          <w:rFonts w:ascii="Times New Roman"/>
        </w:rPr>
        <w:t>L</w:t>
      </w:r>
      <w:r>
        <w:rPr>
          <w:rFonts w:hint="eastAsia" w:ascii="Times New Roman"/>
        </w:rPr>
        <w:t>。</w:t>
      </w:r>
    </w:p>
    <w:p w14:paraId="31F2970D">
      <w:pPr>
        <w:pStyle w:val="34"/>
        <w:numPr>
          <w:ilvl w:val="1"/>
          <w:numId w:val="0"/>
        </w:numPr>
        <w:ind w:firstLine="420" w:firstLineChars="200"/>
        <w:rPr>
          <w:rFonts w:ascii="Times New Roman"/>
        </w:rPr>
      </w:pPr>
      <w:r>
        <w:rPr>
          <w:rFonts w:hint="eastAsia"/>
        </w:rPr>
        <w:t>用基准八氧化</w:t>
      </w:r>
      <w:r>
        <w:rPr>
          <w:rFonts w:hint="eastAsia" w:ascii="Times New Roman"/>
        </w:rPr>
        <w:t>三铀配制成</w:t>
      </w:r>
      <w:r>
        <w:rPr>
          <w:rFonts w:ascii="Times New Roman" w:eastAsia="黑体"/>
        </w:rPr>
        <w:t>1</w:t>
      </w:r>
      <w:r>
        <w:rPr>
          <w:rFonts w:hint="eastAsia" w:ascii="Times New Roman" w:eastAsia="黑体"/>
        </w:rPr>
        <w:t>.00m</w:t>
      </w:r>
      <w:r>
        <w:rPr>
          <w:rFonts w:ascii="Times New Roman"/>
        </w:rPr>
        <w:t>g/</w:t>
      </w:r>
      <w:r>
        <w:rPr>
          <w:rFonts w:hint="eastAsia" w:ascii="Times New Roman"/>
        </w:rPr>
        <w:t>m</w:t>
      </w:r>
      <w:r>
        <w:rPr>
          <w:rFonts w:ascii="Times New Roman"/>
        </w:rPr>
        <w:t>L</w:t>
      </w:r>
      <w:r>
        <w:rPr>
          <w:rFonts w:hint="eastAsia" w:ascii="Times New Roman"/>
        </w:rPr>
        <w:t>.含硝酸溶液（5.5）的标准贮备液，或可直接购买有证标准溶液。</w:t>
      </w:r>
    </w:p>
    <w:p w14:paraId="19C8AC98">
      <w:pPr>
        <w:pStyle w:val="34"/>
        <w:numPr>
          <w:ilvl w:val="1"/>
          <w:numId w:val="0"/>
        </w:numPr>
        <w:rPr>
          <w:rFonts w:ascii="Times New Roman"/>
        </w:rPr>
      </w:pPr>
      <w:r>
        <w:rPr>
          <w:rFonts w:hint="eastAsia" w:hAnsi="宋体" w:cs="宋体"/>
          <w:b/>
          <w:bCs/>
          <w:lang w:val="en-US" w:eastAsia="zh-CN"/>
        </w:rPr>
        <w:t>6</w:t>
      </w:r>
      <w:r>
        <w:rPr>
          <w:rFonts w:hint="eastAsia" w:hAnsi="宋体" w:cs="宋体"/>
          <w:b/>
          <w:bCs/>
        </w:rPr>
        <w:t>.7.2</w:t>
      </w:r>
      <w:r>
        <w:rPr>
          <w:rFonts w:hint="eastAsia" w:ascii="Times New Roman"/>
        </w:rPr>
        <w:t xml:space="preserve"> 钍标准贮备溶液：</w:t>
      </w:r>
      <w:r>
        <w:rPr>
          <w:rFonts w:ascii="Times New Roman" w:eastAsia="黑体"/>
        </w:rPr>
        <w:t>ρ</w:t>
      </w:r>
      <w:r>
        <w:rPr>
          <w:rFonts w:hint="eastAsia" w:ascii="Times New Roman" w:eastAsia="黑体"/>
        </w:rPr>
        <w:t>(Th)</w:t>
      </w:r>
      <w:r>
        <w:rPr>
          <w:rFonts w:ascii="Times New Roman" w:eastAsia="黑体"/>
        </w:rPr>
        <w:t>=1</w:t>
      </w:r>
      <w:r>
        <w:rPr>
          <w:rFonts w:hint="eastAsia" w:ascii="Times New Roman" w:eastAsia="黑体"/>
        </w:rPr>
        <w:t>.00m</w:t>
      </w:r>
      <w:r>
        <w:rPr>
          <w:rFonts w:ascii="Times New Roman"/>
        </w:rPr>
        <w:t>g/</w:t>
      </w:r>
      <w:r>
        <w:rPr>
          <w:rFonts w:hint="eastAsia" w:ascii="Times New Roman"/>
        </w:rPr>
        <w:t>m</w:t>
      </w:r>
      <w:r>
        <w:rPr>
          <w:rFonts w:ascii="Times New Roman"/>
        </w:rPr>
        <w:t>L</w:t>
      </w:r>
      <w:r>
        <w:rPr>
          <w:rFonts w:hint="eastAsia" w:ascii="Times New Roman"/>
        </w:rPr>
        <w:t>。</w:t>
      </w:r>
    </w:p>
    <w:p w14:paraId="2FC3D07D">
      <w:pPr>
        <w:pStyle w:val="34"/>
        <w:numPr>
          <w:ilvl w:val="1"/>
          <w:numId w:val="0"/>
        </w:numPr>
        <w:ind w:firstLine="420" w:firstLineChars="200"/>
        <w:rPr>
          <w:rFonts w:ascii="Times New Roman"/>
        </w:rPr>
      </w:pPr>
      <w:r>
        <w:rPr>
          <w:rFonts w:hint="eastAsia" w:ascii="Times New Roman"/>
        </w:rPr>
        <w:t>直接购买有证标准溶液。</w:t>
      </w:r>
    </w:p>
    <w:p w14:paraId="0860169C">
      <w:pPr>
        <w:pStyle w:val="34"/>
        <w:numPr>
          <w:ilvl w:val="1"/>
          <w:numId w:val="0"/>
        </w:numPr>
        <w:rPr>
          <w:rFonts w:ascii="Times New Roman"/>
        </w:rPr>
      </w:pPr>
      <w:r>
        <w:rPr>
          <w:rFonts w:hint="eastAsia" w:hAnsi="宋体" w:cs="宋体"/>
          <w:b/>
          <w:bCs/>
          <w:lang w:val="en-US" w:eastAsia="zh-CN"/>
        </w:rPr>
        <w:t>6</w:t>
      </w:r>
      <w:r>
        <w:rPr>
          <w:rFonts w:hint="eastAsia" w:hAnsi="宋体" w:cs="宋体"/>
          <w:b/>
          <w:bCs/>
        </w:rPr>
        <w:t xml:space="preserve">.7.3 </w:t>
      </w:r>
      <w:r>
        <w:rPr>
          <w:rFonts w:hint="eastAsia" w:ascii="Times New Roman"/>
        </w:rPr>
        <w:t>混合标准贮备液：</w:t>
      </w:r>
      <w:r>
        <w:rPr>
          <w:rFonts w:ascii="Times New Roman" w:eastAsia="黑体"/>
        </w:rPr>
        <w:t>ρ=1</w:t>
      </w:r>
      <w:r>
        <w:rPr>
          <w:rFonts w:hint="eastAsia" w:ascii="Times New Roman" w:eastAsia="黑体"/>
        </w:rPr>
        <w:t>00m</w:t>
      </w:r>
      <w:r>
        <w:rPr>
          <w:rFonts w:ascii="Times New Roman"/>
        </w:rPr>
        <w:t>g/L</w:t>
      </w:r>
      <w:r>
        <w:rPr>
          <w:rFonts w:hint="eastAsia" w:ascii="Times New Roman"/>
        </w:rPr>
        <w:t>。</w:t>
      </w:r>
    </w:p>
    <w:p w14:paraId="4FD9895C">
      <w:pPr>
        <w:pStyle w:val="34"/>
        <w:numPr>
          <w:ilvl w:val="1"/>
          <w:numId w:val="0"/>
        </w:numPr>
        <w:ind w:firstLine="420" w:firstLineChars="200"/>
        <w:rPr>
          <w:rFonts w:ascii="Times New Roman"/>
        </w:rPr>
      </w:pPr>
      <w:r>
        <w:rPr>
          <w:rFonts w:hint="eastAsia" w:ascii="Times New Roman"/>
        </w:rPr>
        <w:t>用硝酸溶液（5.5）稀释单元素贮备液（5.7.1、5.7.2），或可直接购买铀、钍混合有证标准溶液。</w:t>
      </w:r>
    </w:p>
    <w:p w14:paraId="6901C16E">
      <w:pPr>
        <w:pStyle w:val="34"/>
        <w:numPr>
          <w:ilvl w:val="1"/>
          <w:numId w:val="0"/>
        </w:numPr>
        <w:rPr>
          <w:rFonts w:ascii="Times New Roman"/>
        </w:rPr>
      </w:pPr>
      <w:r>
        <w:rPr>
          <w:rFonts w:hint="eastAsia" w:hAnsi="宋体" w:cs="宋体"/>
          <w:b/>
          <w:bCs/>
          <w:lang w:val="en-US" w:eastAsia="zh-CN"/>
        </w:rPr>
        <w:t>6</w:t>
      </w:r>
      <w:r>
        <w:rPr>
          <w:rFonts w:hint="eastAsia" w:hAnsi="宋体" w:cs="宋体"/>
          <w:b/>
          <w:bCs/>
        </w:rPr>
        <w:t>.7.4</w:t>
      </w:r>
      <w:r>
        <w:rPr>
          <w:rFonts w:hint="eastAsia" w:ascii="Times New Roman"/>
        </w:rPr>
        <w:t xml:space="preserve"> 混合标准使用液：</w:t>
      </w:r>
      <w:r>
        <w:rPr>
          <w:rFonts w:ascii="Times New Roman" w:eastAsia="黑体"/>
        </w:rPr>
        <w:t>ρ=</w:t>
      </w:r>
      <w:r>
        <w:rPr>
          <w:rFonts w:hint="eastAsia" w:ascii="Times New Roman" w:eastAsia="黑体"/>
        </w:rPr>
        <w:t>1.00m</w:t>
      </w:r>
      <w:r>
        <w:rPr>
          <w:rFonts w:ascii="Times New Roman"/>
        </w:rPr>
        <w:t>g/L</w:t>
      </w:r>
      <w:r>
        <w:rPr>
          <w:rFonts w:hint="eastAsia" w:ascii="Times New Roman"/>
        </w:rPr>
        <w:t>。</w:t>
      </w:r>
    </w:p>
    <w:p w14:paraId="08CB94FF">
      <w:pPr>
        <w:pStyle w:val="34"/>
        <w:numPr>
          <w:ilvl w:val="1"/>
          <w:numId w:val="0"/>
        </w:numPr>
        <w:ind w:firstLine="420" w:firstLineChars="200"/>
      </w:pPr>
      <w:r>
        <w:rPr>
          <w:rFonts w:hint="eastAsia"/>
        </w:rPr>
        <w:t>用硝酸溶液（5.6）稀释混合标准贮备液（5.7.3）。</w:t>
      </w:r>
    </w:p>
    <w:p w14:paraId="188E75C5">
      <w:pPr>
        <w:pStyle w:val="34"/>
        <w:numPr>
          <w:ilvl w:val="1"/>
          <w:numId w:val="0"/>
        </w:numPr>
        <w:rPr>
          <w:rFonts w:ascii="Times New Roman"/>
        </w:rPr>
      </w:pPr>
      <w:r>
        <w:rPr>
          <w:rFonts w:hint="eastAsia" w:hAnsi="宋体" w:cs="宋体"/>
          <w:b/>
          <w:bCs/>
          <w:lang w:val="en-US" w:eastAsia="zh-CN"/>
        </w:rPr>
        <w:t>6</w:t>
      </w:r>
      <w:r>
        <w:rPr>
          <w:rFonts w:hint="eastAsia" w:hAnsi="宋体" w:cs="宋体"/>
          <w:b/>
          <w:bCs/>
        </w:rPr>
        <w:t>.7.5</w:t>
      </w:r>
      <w:r>
        <w:rPr>
          <w:rFonts w:hint="eastAsia"/>
        </w:rPr>
        <w:t xml:space="preserve"> 内标</w:t>
      </w:r>
      <w:r>
        <w:rPr>
          <w:rFonts w:hint="eastAsia" w:ascii="Times New Roman"/>
        </w:rPr>
        <w:t>标准贮备液：</w:t>
      </w:r>
      <w:r>
        <w:rPr>
          <w:rFonts w:ascii="Times New Roman" w:eastAsia="黑体"/>
        </w:rPr>
        <w:t>ρ=1</w:t>
      </w:r>
      <w:r>
        <w:rPr>
          <w:rFonts w:hint="eastAsia" w:ascii="Times New Roman" w:eastAsia="黑体"/>
        </w:rPr>
        <w:t>0.0m</w:t>
      </w:r>
      <w:r>
        <w:rPr>
          <w:rFonts w:ascii="Times New Roman"/>
        </w:rPr>
        <w:t>g/L</w:t>
      </w:r>
      <w:r>
        <w:rPr>
          <w:rFonts w:hint="eastAsia" w:ascii="Times New Roman"/>
        </w:rPr>
        <w:t>。</w:t>
      </w:r>
    </w:p>
    <w:p w14:paraId="3C710B00">
      <w:pPr>
        <w:pStyle w:val="34"/>
        <w:numPr>
          <w:ilvl w:val="1"/>
          <w:numId w:val="0"/>
        </w:numPr>
        <w:ind w:firstLine="420" w:firstLineChars="200"/>
        <w:rPr>
          <w:rFonts w:ascii="Times New Roman"/>
        </w:rPr>
      </w:pPr>
      <w:r>
        <w:rPr>
          <w:rFonts w:hint="eastAsia"/>
        </w:rPr>
        <w:t>选用</w:t>
      </w:r>
      <w:r>
        <w:rPr>
          <w:rFonts w:hint="eastAsia" w:ascii="Times New Roman"/>
          <w:vertAlign w:val="superscript"/>
        </w:rPr>
        <w:t>103</w:t>
      </w:r>
      <w:r>
        <w:rPr>
          <w:rFonts w:hint="eastAsia" w:ascii="Times New Roman"/>
        </w:rPr>
        <w:t>Rh为内标元素。可直接购买有证标准溶液配制，介质为硝酸溶液（5.5）。</w:t>
      </w:r>
    </w:p>
    <w:p w14:paraId="66F9E35B">
      <w:pPr>
        <w:pStyle w:val="34"/>
        <w:numPr>
          <w:ilvl w:val="1"/>
          <w:numId w:val="0"/>
        </w:numPr>
        <w:rPr>
          <w:rFonts w:ascii="Times New Roman"/>
        </w:rPr>
      </w:pPr>
      <w:r>
        <w:rPr>
          <w:rFonts w:hint="eastAsia" w:hAnsi="宋体" w:cs="宋体"/>
          <w:b/>
          <w:bCs/>
          <w:lang w:val="en-US" w:eastAsia="zh-CN"/>
        </w:rPr>
        <w:t>6</w:t>
      </w:r>
      <w:r>
        <w:rPr>
          <w:rFonts w:hint="eastAsia" w:hAnsi="宋体" w:cs="宋体"/>
          <w:b/>
          <w:bCs/>
        </w:rPr>
        <w:t>.7.6</w:t>
      </w:r>
      <w:r>
        <w:rPr>
          <w:rFonts w:hint="eastAsia"/>
        </w:rPr>
        <w:t xml:space="preserve"> 内标</w:t>
      </w:r>
      <w:r>
        <w:rPr>
          <w:rFonts w:hint="eastAsia" w:ascii="Times New Roman"/>
        </w:rPr>
        <w:t>标准使用液：</w:t>
      </w:r>
      <w:r>
        <w:rPr>
          <w:rFonts w:ascii="Times New Roman" w:eastAsia="黑体"/>
        </w:rPr>
        <w:t>ρ=1</w:t>
      </w:r>
      <w:r>
        <w:rPr>
          <w:rFonts w:hint="eastAsia" w:ascii="Times New Roman" w:eastAsia="黑体"/>
        </w:rPr>
        <w:t>0.0</w:t>
      </w:r>
      <w:r>
        <w:rPr>
          <w:rFonts w:ascii="Times New Roman" w:eastAsia="黑体"/>
        </w:rPr>
        <w:t>µ</w:t>
      </w:r>
      <w:r>
        <w:rPr>
          <w:rFonts w:ascii="Times New Roman"/>
        </w:rPr>
        <w:t>g/L</w:t>
      </w:r>
      <w:r>
        <w:rPr>
          <w:rFonts w:hint="eastAsia" w:ascii="Times New Roman"/>
        </w:rPr>
        <w:t>。</w:t>
      </w:r>
    </w:p>
    <w:p w14:paraId="04A05803">
      <w:pPr>
        <w:pStyle w:val="34"/>
        <w:numPr>
          <w:ilvl w:val="1"/>
          <w:numId w:val="0"/>
        </w:numPr>
        <w:ind w:firstLine="420" w:firstLineChars="200"/>
        <w:rPr>
          <w:rFonts w:ascii="Times New Roman"/>
        </w:rPr>
      </w:pPr>
      <w:r>
        <w:rPr>
          <w:rFonts w:hint="eastAsia" w:ascii="Times New Roman"/>
        </w:rPr>
        <w:t>用硝酸溶液（5.6）稀释</w:t>
      </w:r>
      <w:r>
        <w:rPr>
          <w:rFonts w:hint="eastAsia"/>
        </w:rPr>
        <w:t>内标</w:t>
      </w:r>
      <w:r>
        <w:rPr>
          <w:rFonts w:hint="eastAsia" w:ascii="Times New Roman"/>
        </w:rPr>
        <w:t>标准贮备液(5.7.5)。</w:t>
      </w:r>
    </w:p>
    <w:p w14:paraId="18EE7A86">
      <w:pPr>
        <w:pStyle w:val="34"/>
        <w:numPr>
          <w:ilvl w:val="1"/>
          <w:numId w:val="0"/>
        </w:numPr>
        <w:rPr>
          <w:rFonts w:ascii="Times New Roman"/>
        </w:rPr>
      </w:pPr>
      <w:r>
        <w:rPr>
          <w:rFonts w:hint="eastAsia" w:hAnsi="宋体" w:cs="宋体"/>
          <w:b/>
          <w:bCs/>
          <w:lang w:val="en-US" w:eastAsia="zh-CN"/>
        </w:rPr>
        <w:t>6</w:t>
      </w:r>
      <w:r>
        <w:rPr>
          <w:rFonts w:hint="eastAsia" w:hAnsi="宋体" w:cs="宋体"/>
          <w:b/>
          <w:bCs/>
        </w:rPr>
        <w:t>.7.7</w:t>
      </w:r>
      <w:r>
        <w:rPr>
          <w:rFonts w:hint="eastAsia"/>
        </w:rPr>
        <w:t xml:space="preserve"> 质谱仪调谐</w:t>
      </w:r>
      <w:r>
        <w:rPr>
          <w:rFonts w:hint="eastAsia" w:ascii="Times New Roman"/>
        </w:rPr>
        <w:t>液：</w:t>
      </w:r>
      <w:r>
        <w:rPr>
          <w:rFonts w:ascii="Times New Roman" w:eastAsia="黑体"/>
        </w:rPr>
        <w:t>ρ=1</w:t>
      </w:r>
      <w:r>
        <w:rPr>
          <w:rFonts w:hint="eastAsia" w:ascii="Times New Roman" w:eastAsia="黑体"/>
        </w:rPr>
        <w:t>.00</w:t>
      </w:r>
      <w:r>
        <w:rPr>
          <w:rFonts w:ascii="Times New Roman" w:eastAsia="黑体"/>
        </w:rPr>
        <w:t>µ</w:t>
      </w:r>
      <w:r>
        <w:rPr>
          <w:rFonts w:ascii="Times New Roman"/>
        </w:rPr>
        <w:t>g/L</w:t>
      </w:r>
      <w:r>
        <w:rPr>
          <w:rFonts w:hint="eastAsia" w:ascii="Times New Roman"/>
        </w:rPr>
        <w:t>。</w:t>
      </w:r>
    </w:p>
    <w:p w14:paraId="13331D08">
      <w:pPr>
        <w:pStyle w:val="34"/>
        <w:numPr>
          <w:ilvl w:val="1"/>
          <w:numId w:val="0"/>
        </w:numPr>
        <w:ind w:firstLine="420" w:firstLineChars="200"/>
        <w:rPr>
          <w:rFonts w:ascii="Times New Roman"/>
        </w:rPr>
      </w:pPr>
      <w:r>
        <w:rPr>
          <w:rFonts w:hint="eastAsia"/>
        </w:rPr>
        <w:t>选用含In、Li、Be、Ce、Fe、Mg、Pb元素的溶液为质谱仪调谐</w:t>
      </w:r>
      <w:r>
        <w:rPr>
          <w:rFonts w:hint="eastAsia" w:ascii="Times New Roman"/>
        </w:rPr>
        <w:t>液</w:t>
      </w:r>
      <w:r>
        <w:rPr>
          <w:rFonts w:hint="eastAsia"/>
        </w:rPr>
        <w:t>。</w:t>
      </w:r>
      <w:r>
        <w:rPr>
          <w:rFonts w:hint="eastAsia" w:ascii="Times New Roman"/>
        </w:rPr>
        <w:t>直接购买有证标准溶液配制。</w:t>
      </w:r>
    </w:p>
    <w:p w14:paraId="77D3BF2A">
      <w:pPr>
        <w:pStyle w:val="34"/>
        <w:numPr>
          <w:ilvl w:val="1"/>
          <w:numId w:val="0"/>
        </w:numPr>
        <w:rPr>
          <w:rFonts w:ascii="Times New Roman"/>
        </w:rPr>
      </w:pPr>
      <w:r>
        <w:rPr>
          <w:rFonts w:hint="eastAsia" w:hAnsi="宋体" w:cs="宋体"/>
          <w:b/>
          <w:bCs/>
          <w:lang w:val="en-US" w:eastAsia="zh-CN"/>
        </w:rPr>
        <w:t>6</w:t>
      </w:r>
      <w:r>
        <w:rPr>
          <w:rFonts w:hint="eastAsia" w:hAnsi="宋体" w:cs="宋体"/>
          <w:b/>
          <w:bCs/>
        </w:rPr>
        <w:t>.8</w:t>
      </w:r>
      <w:r>
        <w:rPr>
          <w:rFonts w:hint="eastAsia" w:ascii="Times New Roman"/>
        </w:rPr>
        <w:t>氩气：纯度不低于99.99%。</w:t>
      </w:r>
    </w:p>
    <w:p w14:paraId="5AC6FEC1">
      <w:pPr>
        <w:pStyle w:val="32"/>
        <w:numPr>
          <w:ilvl w:val="0"/>
          <w:numId w:val="0"/>
        </w:numPr>
        <w:spacing w:before="312" w:after="312"/>
      </w:pPr>
      <w:bookmarkStart w:id="40" w:name="_Toc103189497"/>
      <w:r>
        <w:rPr>
          <w:rFonts w:hint="eastAsia"/>
          <w:lang w:val="en-US" w:eastAsia="zh-CN"/>
        </w:rPr>
        <w:t xml:space="preserve">7 </w:t>
      </w:r>
      <w:r>
        <w:t>仪器设备</w:t>
      </w:r>
      <w:bookmarkEnd w:id="40"/>
    </w:p>
    <w:p w14:paraId="775842E2">
      <w:pPr>
        <w:pStyle w:val="34"/>
        <w:numPr>
          <w:ilvl w:val="1"/>
          <w:numId w:val="0"/>
        </w:numPr>
        <w:rPr>
          <w:rFonts w:ascii="Times New Roman"/>
        </w:rPr>
      </w:pPr>
      <w:r>
        <w:rPr>
          <w:rFonts w:hint="eastAsia" w:hAnsi="宋体" w:cs="宋体"/>
          <w:b/>
          <w:bCs/>
          <w:lang w:val="en-US" w:eastAsia="zh-CN"/>
        </w:rPr>
        <w:t>7</w:t>
      </w:r>
      <w:r>
        <w:rPr>
          <w:rFonts w:hint="eastAsia" w:hAnsi="宋体" w:cs="宋体"/>
          <w:b/>
          <w:bCs/>
        </w:rPr>
        <w:t>.1</w:t>
      </w:r>
      <w:r>
        <w:rPr>
          <w:rFonts w:ascii="Times New Roman"/>
        </w:rPr>
        <w:t>电感耦合等离子</w:t>
      </w:r>
      <w:r>
        <w:rPr>
          <w:rFonts w:hint="eastAsia" w:ascii="Times New Roman"/>
        </w:rPr>
        <w:t>体质谱仪</w:t>
      </w:r>
      <w:r>
        <w:rPr>
          <w:rFonts w:ascii="Times New Roman"/>
        </w:rPr>
        <w:t>。</w:t>
      </w:r>
    </w:p>
    <w:p w14:paraId="7EB82DA0">
      <w:pPr>
        <w:pStyle w:val="34"/>
        <w:numPr>
          <w:ilvl w:val="1"/>
          <w:numId w:val="0"/>
        </w:numPr>
        <w:rPr>
          <w:rFonts w:ascii="Times New Roman"/>
        </w:rPr>
      </w:pPr>
      <w:r>
        <w:rPr>
          <w:rFonts w:hint="eastAsia" w:hAnsi="宋体" w:cs="宋体"/>
          <w:b/>
          <w:bCs/>
          <w:lang w:val="en-US" w:eastAsia="zh-CN"/>
        </w:rPr>
        <w:t>7</w:t>
      </w:r>
      <w:r>
        <w:rPr>
          <w:rFonts w:hint="eastAsia" w:hAnsi="宋体" w:cs="宋体"/>
          <w:b/>
          <w:bCs/>
        </w:rPr>
        <w:t>.2</w:t>
      </w:r>
      <w:r>
        <w:rPr>
          <w:rFonts w:ascii="Times New Roman"/>
        </w:rPr>
        <w:t>温控电热板</w:t>
      </w:r>
      <w:r>
        <w:rPr>
          <w:rFonts w:hint="eastAsia" w:ascii="Times New Roman"/>
        </w:rPr>
        <w:t>：</w:t>
      </w:r>
      <w:r>
        <w:rPr>
          <w:rFonts w:ascii="Times New Roman"/>
        </w:rPr>
        <w:t>温控精度±5℃，可控</w:t>
      </w:r>
      <w:r>
        <w:rPr>
          <w:rFonts w:hint="eastAsia" w:ascii="Times New Roman"/>
        </w:rPr>
        <w:t>最高</w:t>
      </w:r>
      <w:r>
        <w:rPr>
          <w:rFonts w:ascii="Times New Roman"/>
        </w:rPr>
        <w:t>温度</w:t>
      </w:r>
      <w:r>
        <w:rPr>
          <w:rFonts w:hint="eastAsia" w:ascii="Times New Roman"/>
        </w:rPr>
        <w:t>30</w:t>
      </w:r>
      <w:r>
        <w:rPr>
          <w:rFonts w:ascii="Times New Roman"/>
        </w:rPr>
        <w:t>0℃。</w:t>
      </w:r>
    </w:p>
    <w:p w14:paraId="5DF93ACA">
      <w:pPr>
        <w:pStyle w:val="34"/>
        <w:numPr>
          <w:ilvl w:val="1"/>
          <w:numId w:val="0"/>
        </w:numPr>
        <w:rPr>
          <w:rFonts w:ascii="Times New Roman"/>
        </w:rPr>
      </w:pPr>
      <w:r>
        <w:rPr>
          <w:rFonts w:hint="eastAsia" w:hAnsi="宋体" w:cs="宋体"/>
          <w:b/>
          <w:bCs/>
          <w:lang w:val="en-US" w:eastAsia="zh-CN"/>
        </w:rPr>
        <w:t>7</w:t>
      </w:r>
      <w:r>
        <w:rPr>
          <w:rFonts w:hint="eastAsia" w:hAnsi="宋体" w:cs="宋体"/>
          <w:b/>
          <w:bCs/>
        </w:rPr>
        <w:t xml:space="preserve">.3 </w:t>
      </w:r>
      <w:r>
        <w:rPr>
          <w:rFonts w:hint="eastAsia" w:ascii="Times New Roman"/>
        </w:rPr>
        <w:t>天平：感量0.1mg。</w:t>
      </w:r>
    </w:p>
    <w:p w14:paraId="5978291E">
      <w:pPr>
        <w:pStyle w:val="34"/>
        <w:numPr>
          <w:ilvl w:val="1"/>
          <w:numId w:val="0"/>
        </w:numPr>
        <w:rPr>
          <w:rFonts w:ascii="Times New Roman"/>
        </w:rPr>
      </w:pPr>
      <w:r>
        <w:rPr>
          <w:rFonts w:hint="eastAsia" w:hAnsi="宋体" w:cs="宋体"/>
          <w:b/>
          <w:bCs/>
          <w:lang w:val="en-US" w:eastAsia="zh-CN"/>
        </w:rPr>
        <w:t>7</w:t>
      </w:r>
      <w:r>
        <w:rPr>
          <w:rFonts w:hint="eastAsia" w:hAnsi="宋体" w:cs="宋体"/>
          <w:b/>
          <w:bCs/>
        </w:rPr>
        <w:t>.4</w:t>
      </w:r>
      <w:r>
        <w:rPr>
          <w:rFonts w:hint="eastAsia" w:ascii="Times New Roman"/>
        </w:rPr>
        <w:t xml:space="preserve">  尼龙筛：0.15mm(100目）。</w:t>
      </w:r>
    </w:p>
    <w:p w14:paraId="1CB37F8E">
      <w:pPr>
        <w:pStyle w:val="34"/>
        <w:numPr>
          <w:ilvl w:val="1"/>
          <w:numId w:val="0"/>
        </w:numPr>
        <w:rPr>
          <w:rFonts w:ascii="Times New Roman"/>
        </w:rPr>
      </w:pPr>
      <w:r>
        <w:rPr>
          <w:rFonts w:hint="eastAsia" w:hAnsi="宋体" w:cs="宋体"/>
          <w:b/>
          <w:bCs/>
          <w:lang w:val="en-US" w:eastAsia="zh-CN"/>
        </w:rPr>
        <w:t>7</w:t>
      </w:r>
      <w:r>
        <w:rPr>
          <w:rFonts w:hint="eastAsia" w:hAnsi="宋体" w:cs="宋体"/>
          <w:b/>
          <w:bCs/>
        </w:rPr>
        <w:t>.5</w:t>
      </w:r>
      <w:r>
        <w:rPr>
          <w:rFonts w:hint="eastAsia" w:ascii="Times New Roman"/>
        </w:rPr>
        <w:t xml:space="preserve">  滤膜：水系微孔滤膜，孔径0.45</w:t>
      </w:r>
      <w:r>
        <w:rPr>
          <w:rFonts w:ascii="Times New Roman"/>
        </w:rPr>
        <w:t>µ</w:t>
      </w:r>
      <w:r>
        <w:rPr>
          <w:rFonts w:hint="eastAsia" w:ascii="Times New Roman"/>
        </w:rPr>
        <w:t>m。</w:t>
      </w:r>
    </w:p>
    <w:p w14:paraId="5E16D60D">
      <w:pPr>
        <w:pStyle w:val="34"/>
        <w:numPr>
          <w:ilvl w:val="1"/>
          <w:numId w:val="0"/>
        </w:numPr>
        <w:rPr>
          <w:rFonts w:ascii="Times New Roman"/>
        </w:rPr>
      </w:pPr>
      <w:r>
        <w:rPr>
          <w:rFonts w:hint="eastAsia" w:hAnsi="宋体" w:cs="宋体"/>
          <w:b/>
          <w:bCs/>
          <w:lang w:val="en-US" w:eastAsia="zh-CN"/>
        </w:rPr>
        <w:t>7</w:t>
      </w:r>
      <w:r>
        <w:rPr>
          <w:rFonts w:hint="eastAsia" w:hAnsi="宋体" w:cs="宋体"/>
          <w:b/>
          <w:bCs/>
        </w:rPr>
        <w:t xml:space="preserve">.6 </w:t>
      </w:r>
      <w:r>
        <w:rPr>
          <w:rFonts w:hint="eastAsia" w:ascii="Times New Roman"/>
        </w:rPr>
        <w:t xml:space="preserve"> 一般实验室常用仪器和设备。</w:t>
      </w:r>
    </w:p>
    <w:p w14:paraId="5813CBEB">
      <w:pPr>
        <w:pStyle w:val="32"/>
        <w:numPr>
          <w:ilvl w:val="0"/>
          <w:numId w:val="0"/>
        </w:numPr>
        <w:spacing w:before="312" w:after="312"/>
      </w:pPr>
      <w:bookmarkStart w:id="41" w:name="_Toc103189498"/>
      <w:r>
        <w:rPr>
          <w:rFonts w:hint="eastAsia"/>
          <w:lang w:val="en-US" w:eastAsia="zh-CN"/>
        </w:rPr>
        <w:t xml:space="preserve">8 </w:t>
      </w:r>
      <w:r>
        <w:rPr>
          <w:rFonts w:hint="eastAsia"/>
        </w:rPr>
        <w:t>样品</w:t>
      </w:r>
      <w:bookmarkEnd w:id="41"/>
    </w:p>
    <w:p w14:paraId="31F0E345">
      <w:pPr>
        <w:pStyle w:val="34"/>
        <w:numPr>
          <w:ilvl w:val="1"/>
          <w:numId w:val="0"/>
        </w:numPr>
        <w:rPr>
          <w:rFonts w:ascii="黑体" w:hAnsi="黑体" w:eastAsia="黑体"/>
        </w:rPr>
      </w:pPr>
      <w:r>
        <w:rPr>
          <w:rFonts w:hint="eastAsia" w:hAnsi="宋体" w:cs="宋体"/>
          <w:b/>
          <w:bCs/>
          <w:lang w:val="en-US" w:eastAsia="zh-CN"/>
        </w:rPr>
        <w:t>8</w:t>
      </w:r>
      <w:r>
        <w:rPr>
          <w:rFonts w:hint="eastAsia" w:hAnsi="宋体" w:cs="宋体"/>
          <w:b/>
          <w:bCs/>
        </w:rPr>
        <w:t>.1</w:t>
      </w:r>
      <w:r>
        <w:rPr>
          <w:rFonts w:hint="eastAsia" w:ascii="黑体" w:hAnsi="黑体" w:eastAsia="黑体"/>
        </w:rPr>
        <w:t>样品采集与保存</w:t>
      </w:r>
    </w:p>
    <w:p w14:paraId="6952DF5E">
      <w:pPr>
        <w:pStyle w:val="34"/>
        <w:numPr>
          <w:ilvl w:val="1"/>
          <w:numId w:val="0"/>
        </w:numPr>
        <w:ind w:firstLine="420" w:firstLineChars="200"/>
      </w:pPr>
      <w:r>
        <w:rPr>
          <w:rFonts w:hint="eastAsia"/>
        </w:rPr>
        <w:t>按照HJ/T20和HJ/T298的相关规定对固体废物进行样品的采集和保存。</w:t>
      </w:r>
    </w:p>
    <w:p w14:paraId="168B205A">
      <w:pPr>
        <w:pStyle w:val="34"/>
        <w:numPr>
          <w:ilvl w:val="1"/>
          <w:numId w:val="0"/>
        </w:numPr>
      </w:pPr>
    </w:p>
    <w:p w14:paraId="6BCAFBCA">
      <w:pPr>
        <w:pStyle w:val="34"/>
        <w:numPr>
          <w:ilvl w:val="1"/>
          <w:numId w:val="0"/>
        </w:numPr>
        <w:rPr>
          <w:rFonts w:ascii="黑体" w:hAnsi="黑体" w:eastAsia="黑体"/>
        </w:rPr>
      </w:pPr>
      <w:r>
        <w:rPr>
          <w:rFonts w:hint="eastAsia" w:hAnsi="宋体" w:cs="宋体"/>
          <w:b/>
          <w:bCs/>
          <w:lang w:val="en-US" w:eastAsia="zh-CN"/>
        </w:rPr>
        <w:t>8</w:t>
      </w:r>
      <w:r>
        <w:rPr>
          <w:rFonts w:hint="eastAsia" w:hAnsi="宋体" w:cs="宋体"/>
          <w:b/>
          <w:bCs/>
        </w:rPr>
        <w:t xml:space="preserve">.2 </w:t>
      </w:r>
      <w:r>
        <w:rPr>
          <w:rFonts w:hint="eastAsia" w:ascii="黑体" w:hAnsi="黑体" w:eastAsia="黑体"/>
        </w:rPr>
        <w:t xml:space="preserve"> 样品制备</w:t>
      </w:r>
    </w:p>
    <w:p w14:paraId="5436F9FE">
      <w:pPr>
        <w:pStyle w:val="34"/>
        <w:numPr>
          <w:ilvl w:val="1"/>
          <w:numId w:val="0"/>
        </w:numPr>
        <w:ind w:firstLine="420" w:firstLineChars="200"/>
      </w:pPr>
    </w:p>
    <w:p w14:paraId="07B68E04">
      <w:pPr>
        <w:pStyle w:val="34"/>
        <w:numPr>
          <w:ilvl w:val="1"/>
          <w:numId w:val="0"/>
        </w:numPr>
        <w:rPr>
          <w:rFonts w:hAnsi="宋体" w:cs="宋体"/>
        </w:rPr>
      </w:pPr>
      <w:r>
        <w:rPr>
          <w:rFonts w:hint="eastAsia" w:hAnsi="宋体" w:cs="宋体"/>
          <w:b/>
          <w:bCs/>
          <w:lang w:val="en-US" w:eastAsia="zh-CN"/>
        </w:rPr>
        <w:t>8</w:t>
      </w:r>
      <w:r>
        <w:rPr>
          <w:rFonts w:hint="eastAsia" w:hAnsi="宋体" w:cs="宋体"/>
          <w:b/>
          <w:bCs/>
        </w:rPr>
        <w:t xml:space="preserve">.2.1  </w:t>
      </w:r>
      <w:r>
        <w:rPr>
          <w:rFonts w:hint="eastAsia" w:hAnsi="宋体" w:cs="宋体"/>
        </w:rPr>
        <w:t>固体废物</w:t>
      </w:r>
    </w:p>
    <w:p w14:paraId="59356FB1">
      <w:pPr>
        <w:spacing w:line="332" w:lineRule="exact"/>
        <w:ind w:right="181" w:firstLine="420" w:firstLineChars="200"/>
        <w:rPr>
          <w:rFonts w:ascii="宋体"/>
          <w:kern w:val="0"/>
          <w:szCs w:val="21"/>
        </w:rPr>
      </w:pPr>
      <w:r>
        <w:rPr>
          <w:rFonts w:hint="eastAsia" w:ascii="宋体"/>
          <w:kern w:val="0"/>
          <w:szCs w:val="21"/>
        </w:rPr>
        <w:t>按照 HJ/T 20 的相关规定进行固体废物样品的制备。对于固态废物或可干化的半固态固体废物样品，准确称取 10 g 样品(</w:t>
      </w:r>
      <m:oMath>
        <m:r>
          <m:rPr/>
          <w:rPr>
            <w:rFonts w:ascii="Cambria Math" w:hAnsi="Cambria Math" w:cs="Arial"/>
            <w:sz w:val="21"/>
            <w:szCs w:val="21"/>
          </w:rPr>
          <m:t>m1</m:t>
        </m:r>
      </m:oMath>
      <w:r>
        <w:rPr>
          <w:rFonts w:hint="eastAsia" w:ascii="宋体"/>
          <w:kern w:val="0"/>
          <w:szCs w:val="21"/>
        </w:rPr>
        <w:t>，精确至 0.01 g)，自然风干或冷冻干燥后，再次称重（</w:t>
      </w:r>
      <m:oMath>
        <m:r>
          <m:rPr/>
          <w:rPr>
            <w:rFonts w:ascii="Cambria Math" w:hAnsi="Cambria Math" w:cs="Arial"/>
            <w:sz w:val="21"/>
            <w:szCs w:val="21"/>
          </w:rPr>
          <m:t>m2</m:t>
        </m:r>
      </m:oMath>
      <w:r>
        <w:rPr>
          <w:rFonts w:hint="eastAsia" w:ascii="宋体"/>
          <w:kern w:val="0"/>
          <w:szCs w:val="21"/>
        </w:rPr>
        <w:t>，精确至 0.01 g），研磨，全部过0.15mm（100 目）尼龙筛（6.4）备用。</w:t>
      </w:r>
    </w:p>
    <w:p w14:paraId="5DF34A1C">
      <w:pPr>
        <w:pStyle w:val="34"/>
        <w:numPr>
          <w:ilvl w:val="1"/>
          <w:numId w:val="0"/>
        </w:numPr>
        <w:rPr>
          <w:rFonts w:hAnsi="宋体" w:cs="宋体"/>
        </w:rPr>
      </w:pPr>
      <w:r>
        <w:rPr>
          <w:rFonts w:hint="eastAsia" w:hAnsi="宋体" w:cs="宋体"/>
          <w:b/>
          <w:bCs/>
          <w:lang w:val="en-US" w:eastAsia="zh-CN"/>
        </w:rPr>
        <w:t>8</w:t>
      </w:r>
      <w:r>
        <w:rPr>
          <w:rFonts w:hint="eastAsia" w:hAnsi="宋体" w:cs="宋体"/>
          <w:b/>
          <w:bCs/>
        </w:rPr>
        <w:t>.2.2</w:t>
      </w:r>
      <w:r>
        <w:rPr>
          <w:rFonts w:hint="eastAsia" w:hAnsi="宋体" w:cs="宋体"/>
        </w:rPr>
        <w:t xml:space="preserve">  固体废物浸出液</w:t>
      </w:r>
    </w:p>
    <w:p w14:paraId="3694A5DD">
      <w:pPr>
        <w:spacing w:line="332" w:lineRule="exact"/>
        <w:ind w:right="181"/>
        <w:rPr>
          <w:rFonts w:ascii="宋体"/>
        </w:rPr>
      </w:pPr>
      <w:r>
        <w:rPr>
          <w:rFonts w:hint="eastAsia" w:ascii="宋体"/>
        </w:rPr>
        <w:t>按照HJ/T2</w:t>
      </w:r>
      <w:r>
        <w:rPr>
          <w:rFonts w:hint="eastAsia"/>
        </w:rPr>
        <w:t>99、</w:t>
      </w:r>
      <w:r>
        <w:rPr>
          <w:rFonts w:hint="eastAsia" w:ascii="宋体"/>
        </w:rPr>
        <w:t>HJ/T</w:t>
      </w:r>
      <w:r>
        <w:rPr>
          <w:rFonts w:hint="eastAsia"/>
        </w:rPr>
        <w:t>300</w:t>
      </w:r>
      <w:r>
        <w:rPr>
          <w:rFonts w:hint="eastAsia" w:ascii="宋体"/>
        </w:rPr>
        <w:t>和HJ</w:t>
      </w:r>
      <w:r>
        <w:rPr>
          <w:rFonts w:hint="eastAsia"/>
        </w:rPr>
        <w:t>557</w:t>
      </w:r>
      <w:r>
        <w:rPr>
          <w:rFonts w:hint="eastAsia" w:ascii="宋体"/>
        </w:rPr>
        <w:t>的相关规定</w:t>
      </w:r>
      <w:r>
        <w:rPr>
          <w:rFonts w:hint="eastAsia"/>
        </w:rPr>
        <w:t>进行浸出液的制备</w:t>
      </w:r>
      <w:r>
        <w:rPr>
          <w:rFonts w:hint="eastAsia" w:ascii="宋体"/>
        </w:rPr>
        <w:t>。</w:t>
      </w:r>
    </w:p>
    <w:p w14:paraId="1AA8A05A">
      <w:pPr>
        <w:spacing w:line="332" w:lineRule="exact"/>
        <w:ind w:right="181"/>
        <w:rPr>
          <w:rFonts w:ascii="宋体"/>
        </w:rPr>
      </w:pPr>
    </w:p>
    <w:p w14:paraId="1BAE94FE">
      <w:pPr>
        <w:spacing w:line="67" w:lineRule="exact"/>
        <w:rPr>
          <w:rFonts w:ascii="宋体"/>
          <w:kern w:val="0"/>
          <w:szCs w:val="21"/>
        </w:rPr>
      </w:pPr>
    </w:p>
    <w:p w14:paraId="55D197FE">
      <w:pPr>
        <w:tabs>
          <w:tab w:val="left" w:pos="720"/>
        </w:tabs>
        <w:spacing w:line="262" w:lineRule="exact"/>
        <w:jc w:val="left"/>
        <w:rPr>
          <w:rFonts w:ascii="黑体" w:hAnsi="黑体" w:eastAsia="黑体"/>
          <w:kern w:val="0"/>
          <w:szCs w:val="21"/>
        </w:rPr>
      </w:pPr>
      <w:r>
        <w:rPr>
          <w:rFonts w:hint="eastAsia" w:ascii="宋体" w:hAnsi="宋体" w:cs="宋体"/>
          <w:b/>
          <w:bCs/>
          <w:kern w:val="0"/>
          <w:szCs w:val="21"/>
          <w:lang w:val="en-US" w:eastAsia="zh-CN"/>
        </w:rPr>
        <w:t>8</w:t>
      </w:r>
      <w:r>
        <w:rPr>
          <w:rFonts w:hint="eastAsia" w:ascii="宋体" w:hAnsi="宋体" w:cs="宋体"/>
          <w:b/>
          <w:bCs/>
          <w:kern w:val="0"/>
          <w:szCs w:val="21"/>
        </w:rPr>
        <w:t>.3</w:t>
      </w:r>
      <w:r>
        <w:rPr>
          <w:rFonts w:hint="eastAsia" w:ascii="黑体" w:hAnsi="黑体" w:eastAsia="黑体"/>
          <w:kern w:val="0"/>
          <w:szCs w:val="21"/>
        </w:rPr>
        <w:t>试样的制备</w:t>
      </w:r>
    </w:p>
    <w:p w14:paraId="6EFCC8A4">
      <w:pPr>
        <w:tabs>
          <w:tab w:val="left" w:pos="720"/>
        </w:tabs>
        <w:spacing w:line="262" w:lineRule="exact"/>
        <w:jc w:val="left"/>
        <w:rPr>
          <w:rFonts w:ascii="黑体" w:hAnsi="黑体" w:eastAsia="黑体"/>
          <w:kern w:val="0"/>
          <w:szCs w:val="21"/>
        </w:rPr>
      </w:pPr>
    </w:p>
    <w:p w14:paraId="096CFD2A">
      <w:pPr>
        <w:spacing w:line="99" w:lineRule="exact"/>
        <w:rPr>
          <w:rFonts w:ascii="宋体"/>
          <w:kern w:val="0"/>
          <w:szCs w:val="21"/>
        </w:rPr>
      </w:pPr>
    </w:p>
    <w:p w14:paraId="44EB3DC1">
      <w:pPr>
        <w:spacing w:line="67" w:lineRule="exact"/>
        <w:rPr>
          <w:rFonts w:ascii="宋体"/>
          <w:kern w:val="0"/>
          <w:szCs w:val="21"/>
        </w:rPr>
      </w:pPr>
    </w:p>
    <w:p w14:paraId="66E60EBD">
      <w:pPr>
        <w:tabs>
          <w:tab w:val="left" w:pos="880"/>
        </w:tabs>
        <w:spacing w:line="262" w:lineRule="exact"/>
        <w:rPr>
          <w:rFonts w:ascii="宋体"/>
          <w:kern w:val="0"/>
          <w:szCs w:val="21"/>
        </w:rPr>
      </w:pPr>
      <w:r>
        <w:rPr>
          <w:rFonts w:hint="eastAsia" w:ascii="宋体" w:hAnsi="宋体" w:cs="宋体"/>
          <w:b/>
          <w:bCs/>
          <w:kern w:val="0"/>
          <w:szCs w:val="21"/>
          <w:lang w:val="en-US" w:eastAsia="zh-CN"/>
        </w:rPr>
        <w:t>8</w:t>
      </w:r>
      <w:r>
        <w:rPr>
          <w:rFonts w:hint="eastAsia" w:ascii="宋体" w:hAnsi="宋体" w:cs="宋体"/>
          <w:b/>
          <w:bCs/>
          <w:kern w:val="0"/>
          <w:szCs w:val="21"/>
        </w:rPr>
        <w:t xml:space="preserve">.3.1  </w:t>
      </w:r>
      <w:r>
        <w:rPr>
          <w:rFonts w:hint="eastAsia" w:ascii="宋体"/>
          <w:kern w:val="0"/>
          <w:szCs w:val="21"/>
        </w:rPr>
        <w:t>固体废物试样</w:t>
      </w:r>
    </w:p>
    <w:p w14:paraId="4014B0C5">
      <w:pPr>
        <w:spacing w:line="34" w:lineRule="exact"/>
        <w:rPr>
          <w:rFonts w:ascii="宋体"/>
          <w:kern w:val="0"/>
          <w:szCs w:val="21"/>
        </w:rPr>
      </w:pPr>
    </w:p>
    <w:p w14:paraId="6DCF463F">
      <w:pPr>
        <w:spacing w:line="332" w:lineRule="exact"/>
        <w:ind w:right="181" w:firstLine="420" w:firstLineChars="200"/>
        <w:jc w:val="left"/>
        <w:rPr>
          <w:rFonts w:ascii="宋体"/>
          <w:kern w:val="0"/>
          <w:szCs w:val="21"/>
        </w:rPr>
      </w:pPr>
      <w:r>
        <w:rPr>
          <w:rFonts w:hint="eastAsia" w:ascii="宋体"/>
          <w:kern w:val="0"/>
          <w:szCs w:val="21"/>
        </w:rPr>
        <w:t>对于固态样品或可干化的半固体样品，称取 0.05g～0.1g（</w:t>
      </w:r>
      <m:oMath>
        <m:r>
          <m:rPr/>
          <w:rPr>
            <w:rFonts w:ascii="Cambria Math" w:hAnsi="Cambria Math" w:cs="Arial Unicode MS"/>
            <w:sz w:val="21"/>
            <w:szCs w:val="21"/>
          </w:rPr>
          <m:t>m</m:t>
        </m:r>
        <m:r>
          <m:rPr/>
          <w:rPr>
            <w:rFonts w:ascii="Cambria Math" w:hAnsi="Cambria Math" w:cs="Arial Unicode MS"/>
            <w:sz w:val="21"/>
            <w:szCs w:val="21"/>
            <w:vertAlign w:val="subscript"/>
          </w:rPr>
          <m:t>3</m:t>
        </m:r>
      </m:oMath>
      <w:r>
        <w:rPr>
          <w:rFonts w:hint="eastAsia" w:ascii="宋体"/>
          <w:kern w:val="0"/>
          <w:szCs w:val="21"/>
        </w:rPr>
        <w:t>）过筛后的样品（7.2.1）；对于液态或不可干化的固态样品，直接称取样品 0.1g（</w:t>
      </w:r>
      <m:oMath>
        <m:r>
          <m:rPr/>
          <w:rPr>
            <w:rFonts w:ascii="Cambria Math" w:hAnsi="Cambria Math" w:cs="Arial Unicode MS"/>
            <w:sz w:val="21"/>
            <w:szCs w:val="21"/>
          </w:rPr>
          <m:t>m</m:t>
        </m:r>
        <m:r>
          <m:rPr/>
          <w:rPr>
            <w:rFonts w:ascii="Cambria Math" w:hAnsi="Cambria Math" w:cs="Arial Unicode MS"/>
            <w:sz w:val="21"/>
            <w:szCs w:val="21"/>
            <w:vertAlign w:val="subscript"/>
          </w:rPr>
          <m:t>3</m:t>
        </m:r>
      </m:oMath>
      <w:r>
        <w:rPr>
          <w:rFonts w:hint="eastAsia" w:ascii="宋体"/>
          <w:kern w:val="0"/>
          <w:szCs w:val="21"/>
        </w:rPr>
        <w:t>），精确至 0.0001 g。将样品置于</w:t>
      </w:r>
      <w:r>
        <w:rPr>
          <w:rFonts w:hint="eastAsia" w:ascii="宋体"/>
          <w:kern w:val="0"/>
          <w:szCs w:val="21"/>
          <w:lang w:val="en-US" w:eastAsia="zh-CN"/>
        </w:rPr>
        <w:t>30mL</w:t>
      </w:r>
      <w:r>
        <w:rPr>
          <w:rFonts w:hint="eastAsia" w:ascii="宋体"/>
          <w:kern w:val="0"/>
          <w:szCs w:val="21"/>
        </w:rPr>
        <w:t>聚四氟乙烯坩埚中，加入1mL盐酸（5.1）、4mL硝酸（5.2）、1mL氢氟酸（5.3）和1mL高氯酸（5.4），将坩埚放入温控电热板（6.2）上消解至白烟冒尽，取下冷却至室温，用硝酸溶液（5.6）加热溶解，然后将溶液转移至50mL容量瓶中，用硝酸溶液（5.6）定容至50mL。测定前使用滤膜（6.5）过滤或取上清液进行测定。</w:t>
      </w:r>
    </w:p>
    <w:p w14:paraId="251A0514">
      <w:pPr>
        <w:tabs>
          <w:tab w:val="left" w:pos="880"/>
        </w:tabs>
        <w:spacing w:line="262" w:lineRule="exact"/>
        <w:rPr>
          <w:rFonts w:ascii="宋体"/>
          <w:kern w:val="0"/>
          <w:szCs w:val="21"/>
        </w:rPr>
      </w:pPr>
      <w:r>
        <w:rPr>
          <w:rFonts w:hint="eastAsia" w:ascii="宋体" w:hAnsi="宋体" w:cs="宋体"/>
          <w:b/>
          <w:bCs/>
          <w:kern w:val="0"/>
          <w:szCs w:val="21"/>
          <w:lang w:val="en-US" w:eastAsia="zh-CN"/>
        </w:rPr>
        <w:t>8</w:t>
      </w:r>
      <w:r>
        <w:rPr>
          <w:rFonts w:hint="eastAsia" w:ascii="宋体" w:hAnsi="宋体" w:cs="宋体"/>
          <w:b/>
          <w:bCs/>
          <w:kern w:val="0"/>
          <w:szCs w:val="21"/>
        </w:rPr>
        <w:t xml:space="preserve">.3.2  </w:t>
      </w:r>
      <w:r>
        <w:rPr>
          <w:rFonts w:hint="eastAsia" w:ascii="宋体"/>
          <w:kern w:val="0"/>
          <w:szCs w:val="21"/>
        </w:rPr>
        <w:t>固体废物浸出液试样</w:t>
      </w:r>
    </w:p>
    <w:p w14:paraId="1CA03C84">
      <w:pPr>
        <w:spacing w:line="332" w:lineRule="exact"/>
        <w:ind w:right="181" w:firstLine="420" w:firstLineChars="200"/>
        <w:jc w:val="left"/>
        <w:rPr>
          <w:rFonts w:ascii="宋体"/>
          <w:kern w:val="0"/>
          <w:szCs w:val="21"/>
        </w:rPr>
      </w:pPr>
      <w:r>
        <w:rPr>
          <w:rFonts w:hint="eastAsia" w:ascii="宋体"/>
          <w:kern w:val="0"/>
          <w:szCs w:val="21"/>
        </w:rPr>
        <w:t>移取固体废物浸出液25.0mL，置于150mL烧杯中，加入4 mL硝酸（5.2）和1mL 盐酸（5.1），将烧杯放入温控电热板（6.2）上消解至近干,呈湿盐状，取下冷却至室温，用硝酸溶液（5.6）加热溶解，然后将溶液转移至50mL容量瓶中，用硝酸溶液（5.6）定容至50mL。测定前使用滤膜（6.5）过滤或取上清液进行测定。</w:t>
      </w:r>
    </w:p>
    <w:p w14:paraId="2131D4B9">
      <w:pPr>
        <w:spacing w:line="332" w:lineRule="exact"/>
        <w:ind w:right="181"/>
        <w:jc w:val="left"/>
        <w:rPr>
          <w:rFonts w:ascii="宋体"/>
          <w:kern w:val="0"/>
          <w:szCs w:val="21"/>
        </w:rPr>
      </w:pPr>
    </w:p>
    <w:p w14:paraId="1E3BD8E3">
      <w:pPr>
        <w:tabs>
          <w:tab w:val="left" w:pos="720"/>
        </w:tabs>
        <w:spacing w:line="262" w:lineRule="exact"/>
        <w:jc w:val="left"/>
        <w:rPr>
          <w:rFonts w:ascii="宋体" w:hAnsi="宋体" w:cs="宋体"/>
          <w:b/>
          <w:bCs/>
          <w:kern w:val="0"/>
          <w:szCs w:val="21"/>
        </w:rPr>
      </w:pPr>
      <w:r>
        <w:rPr>
          <w:rFonts w:hint="eastAsia" w:ascii="宋体" w:hAnsi="宋体" w:cs="宋体"/>
          <w:b/>
          <w:bCs/>
          <w:kern w:val="0"/>
          <w:szCs w:val="21"/>
          <w:lang w:val="en-US" w:eastAsia="zh-CN"/>
        </w:rPr>
        <w:t>8</w:t>
      </w:r>
      <w:r>
        <w:rPr>
          <w:rFonts w:hint="eastAsia" w:ascii="宋体" w:hAnsi="宋体" w:cs="宋体"/>
          <w:b/>
          <w:bCs/>
          <w:kern w:val="0"/>
          <w:szCs w:val="21"/>
        </w:rPr>
        <w:t>.4</w:t>
      </w:r>
      <w:r>
        <w:rPr>
          <w:rFonts w:hint="eastAsia" w:ascii="黑体" w:hAnsi="黑体" w:eastAsia="黑体"/>
          <w:kern w:val="0"/>
          <w:szCs w:val="21"/>
        </w:rPr>
        <w:t>空白试样</w:t>
      </w:r>
    </w:p>
    <w:p w14:paraId="6DDEBD18">
      <w:pPr>
        <w:spacing w:line="118" w:lineRule="exact"/>
        <w:rPr>
          <w:sz w:val="20"/>
          <w:szCs w:val="20"/>
        </w:rPr>
      </w:pPr>
    </w:p>
    <w:p w14:paraId="3D12C6F9">
      <w:pPr>
        <w:spacing w:line="240" w:lineRule="exact"/>
        <w:ind w:firstLine="420" w:firstLineChars="200"/>
        <w:jc w:val="left"/>
        <w:rPr>
          <w:sz w:val="20"/>
          <w:szCs w:val="20"/>
        </w:rPr>
      </w:pPr>
      <w:r>
        <w:rPr>
          <w:rFonts w:ascii="宋体" w:hAnsi="宋体" w:cs="宋体"/>
          <w:szCs w:val="21"/>
        </w:rPr>
        <w:t>用去离子水代替试样，采用与试样制备相同的步骤和试剂，制备空白试样。</w:t>
      </w:r>
    </w:p>
    <w:p w14:paraId="167CC99D">
      <w:pPr>
        <w:spacing w:line="261" w:lineRule="exact"/>
        <w:rPr>
          <w:sz w:val="20"/>
          <w:szCs w:val="20"/>
        </w:rPr>
      </w:pPr>
    </w:p>
    <w:p w14:paraId="767B594C">
      <w:pPr>
        <w:tabs>
          <w:tab w:val="left" w:pos="720"/>
        </w:tabs>
        <w:spacing w:line="262" w:lineRule="exact"/>
        <w:jc w:val="left"/>
        <w:outlineLvl w:val="0"/>
        <w:rPr>
          <w:rFonts w:ascii="宋体" w:hAnsi="宋体" w:cs="宋体"/>
          <w:b/>
          <w:bCs/>
          <w:kern w:val="0"/>
          <w:szCs w:val="21"/>
        </w:rPr>
      </w:pPr>
      <w:r>
        <w:rPr>
          <w:rFonts w:hint="eastAsia" w:ascii="宋体" w:hAnsi="宋体" w:cs="宋体"/>
          <w:b/>
          <w:bCs/>
          <w:kern w:val="0"/>
          <w:szCs w:val="21"/>
          <w:lang w:val="en-US" w:eastAsia="zh-CN"/>
        </w:rPr>
        <w:t>9</w:t>
      </w:r>
      <w:r>
        <w:rPr>
          <w:rFonts w:hint="eastAsia" w:ascii="宋体" w:hAnsi="宋体" w:cs="宋体"/>
          <w:b/>
          <w:bCs/>
          <w:kern w:val="0"/>
          <w:szCs w:val="21"/>
        </w:rPr>
        <w:t xml:space="preserve">  </w:t>
      </w:r>
      <w:r>
        <w:rPr>
          <w:rFonts w:hint="eastAsia" w:ascii="黑体" w:hAnsi="黑体" w:eastAsia="黑体"/>
          <w:kern w:val="0"/>
          <w:szCs w:val="21"/>
        </w:rPr>
        <w:t>分析步骤</w:t>
      </w:r>
    </w:p>
    <w:p w14:paraId="57456140">
      <w:pPr>
        <w:spacing w:line="257" w:lineRule="exact"/>
        <w:rPr>
          <w:sz w:val="20"/>
          <w:szCs w:val="20"/>
        </w:rPr>
      </w:pPr>
    </w:p>
    <w:p w14:paraId="45DBF537">
      <w:pPr>
        <w:pStyle w:val="34"/>
        <w:numPr>
          <w:ilvl w:val="1"/>
          <w:numId w:val="0"/>
        </w:numPr>
        <w:rPr>
          <w:rFonts w:ascii="黑体" w:hAnsi="黑体" w:eastAsia="黑体"/>
        </w:rPr>
      </w:pPr>
      <w:r>
        <w:rPr>
          <w:rFonts w:hint="eastAsia" w:hAnsi="宋体" w:cs="宋体"/>
          <w:b/>
          <w:bCs/>
          <w:lang w:val="en-US" w:eastAsia="zh-CN"/>
        </w:rPr>
        <w:t>9</w:t>
      </w:r>
      <w:r>
        <w:rPr>
          <w:rFonts w:hint="eastAsia" w:hAnsi="宋体" w:cs="宋体"/>
          <w:b/>
          <w:bCs/>
        </w:rPr>
        <w:t>.1</w:t>
      </w:r>
      <w:r>
        <w:rPr>
          <w:rFonts w:hint="eastAsia" w:ascii="黑体" w:hAnsi="黑体" w:eastAsia="黑体"/>
        </w:rPr>
        <w:t>仪器操作参考条件</w:t>
      </w:r>
    </w:p>
    <w:p w14:paraId="593FA90D">
      <w:pPr>
        <w:spacing w:line="149" w:lineRule="exact"/>
        <w:rPr>
          <w:rFonts w:ascii="黑体" w:hAnsi="黑体" w:eastAsia="黑体"/>
          <w:kern w:val="0"/>
          <w:szCs w:val="21"/>
        </w:rPr>
      </w:pPr>
    </w:p>
    <w:p w14:paraId="44DE4DBE">
      <w:pPr>
        <w:spacing w:line="284" w:lineRule="exact"/>
        <w:ind w:left="260" w:right="264" w:firstLine="420"/>
        <w:rPr>
          <w:sz w:val="20"/>
          <w:szCs w:val="20"/>
        </w:rPr>
      </w:pPr>
      <w:r>
        <w:rPr>
          <w:rFonts w:ascii="宋体" w:hAnsi="宋体" w:cs="宋体"/>
          <w:szCs w:val="21"/>
        </w:rPr>
        <w:t>不同型号仪器的最佳工作条件不同，标准模式</w:t>
      </w:r>
      <w:r>
        <w:rPr>
          <w:rFonts w:hint="eastAsia" w:ascii="宋体" w:hAnsi="宋体" w:cs="宋体"/>
          <w:szCs w:val="21"/>
        </w:rPr>
        <w:t>、碰撞/</w:t>
      </w:r>
      <w:r>
        <w:rPr>
          <w:rFonts w:ascii="宋体" w:hAnsi="宋体" w:cs="宋体"/>
          <w:szCs w:val="21"/>
        </w:rPr>
        <w:t>反应池模式</w:t>
      </w:r>
      <w:r>
        <w:rPr>
          <w:rFonts w:hint="eastAsia" w:ascii="宋体" w:hAnsi="宋体" w:cs="宋体"/>
          <w:szCs w:val="21"/>
        </w:rPr>
        <w:t>等</w:t>
      </w:r>
      <w:r>
        <w:rPr>
          <w:rFonts w:ascii="宋体" w:hAnsi="宋体" w:cs="宋体"/>
          <w:szCs w:val="21"/>
        </w:rPr>
        <w:t>应按照仪器使用说明书进行操作。</w:t>
      </w:r>
    </w:p>
    <w:p w14:paraId="350740C6">
      <w:pPr>
        <w:spacing w:line="103" w:lineRule="exact"/>
        <w:rPr>
          <w:sz w:val="20"/>
          <w:szCs w:val="20"/>
        </w:rPr>
      </w:pPr>
    </w:p>
    <w:p w14:paraId="7084761D">
      <w:pPr>
        <w:pStyle w:val="34"/>
        <w:numPr>
          <w:ilvl w:val="1"/>
          <w:numId w:val="0"/>
        </w:numPr>
        <w:rPr>
          <w:rFonts w:ascii="黑体" w:hAnsi="黑体" w:eastAsia="黑体"/>
        </w:rPr>
      </w:pPr>
      <w:r>
        <w:rPr>
          <w:rFonts w:hint="eastAsia" w:hAnsi="宋体" w:cs="宋体"/>
          <w:b/>
          <w:bCs/>
          <w:lang w:val="en-US" w:eastAsia="zh-CN"/>
        </w:rPr>
        <w:t>9</w:t>
      </w:r>
      <w:r>
        <w:rPr>
          <w:rFonts w:hint="eastAsia" w:hAnsi="宋体" w:cs="宋体"/>
          <w:b/>
          <w:bCs/>
        </w:rPr>
        <w:t>.2</w:t>
      </w:r>
      <w:r>
        <w:rPr>
          <w:rFonts w:hint="eastAsia" w:ascii="黑体" w:hAnsi="黑体" w:eastAsia="黑体"/>
        </w:rPr>
        <w:t>仪器调谐</w:t>
      </w:r>
    </w:p>
    <w:p w14:paraId="6E591877">
      <w:pPr>
        <w:spacing w:line="119" w:lineRule="exact"/>
        <w:rPr>
          <w:sz w:val="20"/>
          <w:szCs w:val="20"/>
        </w:rPr>
      </w:pPr>
    </w:p>
    <w:p w14:paraId="119B706C">
      <w:pPr>
        <w:spacing w:line="332" w:lineRule="exact"/>
        <w:ind w:right="181" w:firstLine="420" w:firstLineChars="200"/>
        <w:jc w:val="left"/>
        <w:rPr>
          <w:rFonts w:ascii="宋体"/>
          <w:kern w:val="0"/>
          <w:szCs w:val="21"/>
        </w:rPr>
      </w:pPr>
      <w:r>
        <w:rPr>
          <w:rFonts w:hint="eastAsia" w:ascii="宋体"/>
          <w:kern w:val="0"/>
          <w:szCs w:val="21"/>
        </w:rPr>
        <w:t>点燃等离子体后，仪器预热稳定 30min。用质谱仪调谐溶液（5.7.7）对仪器的灵敏度、氧化物和双电荷进行调谐，在仪器的灵敏度、氧化物、双电荷满足要求的条件下，质谱仪给出的调谐溶液中所含元素信号强度的相对标准偏差≤5%。在涵盖待测元素的质量数范围内进行质量校正和分辨率校验，如果质量校正结果与真实值差别超过±0.1u 或调谐元素信号的分辨率在10%峰高处所对应的峰宽超过0.6u～0.8u的范围，应按照仪器使用说明书的要求对质谱进行校正。</w:t>
      </w:r>
    </w:p>
    <w:p w14:paraId="7CB96962">
      <w:pPr>
        <w:spacing w:line="332" w:lineRule="exact"/>
        <w:ind w:right="181" w:firstLine="420" w:firstLineChars="200"/>
        <w:jc w:val="left"/>
        <w:rPr>
          <w:rFonts w:ascii="宋体"/>
          <w:kern w:val="0"/>
          <w:szCs w:val="21"/>
        </w:rPr>
      </w:pPr>
    </w:p>
    <w:p w14:paraId="243A10A4">
      <w:pPr>
        <w:tabs>
          <w:tab w:val="left" w:pos="720"/>
        </w:tabs>
        <w:spacing w:line="262" w:lineRule="exact"/>
        <w:jc w:val="left"/>
        <w:rPr>
          <w:sz w:val="20"/>
          <w:szCs w:val="20"/>
        </w:rPr>
      </w:pPr>
      <w:r>
        <w:rPr>
          <w:rFonts w:hint="eastAsia" w:ascii="宋体" w:hAnsi="宋体" w:cs="宋体"/>
          <w:b/>
          <w:bCs/>
          <w:kern w:val="0"/>
          <w:szCs w:val="21"/>
          <w:lang w:val="en-US" w:eastAsia="zh-CN"/>
        </w:rPr>
        <w:t>9</w:t>
      </w:r>
      <w:r>
        <w:rPr>
          <w:rFonts w:hint="eastAsia" w:ascii="宋体" w:hAnsi="宋体" w:cs="宋体"/>
          <w:b/>
          <w:bCs/>
          <w:kern w:val="0"/>
          <w:szCs w:val="21"/>
        </w:rPr>
        <w:t>.3</w:t>
      </w:r>
      <w:r>
        <w:rPr>
          <w:rFonts w:hint="eastAsia" w:ascii="黑体" w:hAnsi="黑体" w:eastAsia="黑体"/>
          <w:kern w:val="0"/>
          <w:szCs w:val="21"/>
        </w:rPr>
        <w:t>校准曲线的建立</w:t>
      </w:r>
    </w:p>
    <w:p w14:paraId="2F2D8264">
      <w:pPr>
        <w:spacing w:line="119" w:lineRule="exact"/>
        <w:rPr>
          <w:sz w:val="20"/>
          <w:szCs w:val="20"/>
        </w:rPr>
      </w:pPr>
    </w:p>
    <w:p w14:paraId="2B143299">
      <w:pPr>
        <w:spacing w:line="332" w:lineRule="exact"/>
        <w:ind w:right="181" w:firstLine="420" w:firstLineChars="200"/>
        <w:jc w:val="left"/>
        <w:rPr>
          <w:rFonts w:ascii="宋体"/>
          <w:kern w:val="0"/>
          <w:szCs w:val="21"/>
        </w:rPr>
      </w:pPr>
      <w:r>
        <w:rPr>
          <w:rFonts w:hint="eastAsia" w:ascii="宋体"/>
          <w:kern w:val="0"/>
          <w:szCs w:val="21"/>
        </w:rPr>
        <w:t>分别取一定体积的混合标准使用液（5.7.4）于一组50.0mL容量瓶中，用硝酸溶液（5.6）进行稀释，配制成铀、钍浓度分别为 0.00μg/L、10.0μg/L、20.0μg/L、50.0μg/L、100μg/L、500μg/L的校准系列。内标溶液</w:t>
      </w:r>
      <w:r>
        <w:rPr>
          <w:rFonts w:hint="eastAsia"/>
          <w:vertAlign w:val="superscript"/>
        </w:rPr>
        <w:t>103</w:t>
      </w:r>
      <w:r>
        <w:rPr>
          <w:rFonts w:hint="eastAsia"/>
        </w:rPr>
        <w:t>Rh</w:t>
      </w:r>
      <w:r>
        <w:rPr>
          <w:rFonts w:hint="eastAsia" w:ascii="宋体"/>
          <w:kern w:val="0"/>
          <w:szCs w:val="21"/>
        </w:rPr>
        <w:t>的浓度远高于样品自身所含内标元素的浓度，在样品雾化之前通过蠕动泵在线加入。用 ICP-MS 进行测定，</w:t>
      </w:r>
      <w:r>
        <w:rPr>
          <w:rFonts w:hint="eastAsia" w:ascii="宋体"/>
          <w:kern w:val="0"/>
          <w:szCs w:val="21"/>
          <w:lang w:eastAsia="zh-CN"/>
        </w:rPr>
        <w:t>测量</w:t>
      </w:r>
      <w:r>
        <w:rPr>
          <w:rFonts w:hint="eastAsia" w:ascii="宋体"/>
          <w:kern w:val="0"/>
          <w:szCs w:val="21"/>
        </w:rPr>
        <w:t>铀</w:t>
      </w:r>
      <w:r>
        <w:rPr>
          <w:rFonts w:hint="eastAsia" w:ascii="宋体"/>
          <w:kern w:val="0"/>
          <w:szCs w:val="21"/>
          <w:lang w:eastAsia="zh-CN"/>
        </w:rPr>
        <w:t>质量数</w:t>
      </w:r>
      <w:r>
        <w:rPr>
          <w:rFonts w:hint="eastAsia" w:ascii="宋体"/>
          <w:kern w:val="0"/>
          <w:szCs w:val="21"/>
          <w:lang w:val="en-US" w:eastAsia="zh-CN"/>
        </w:rPr>
        <w:t>选择238，</w:t>
      </w:r>
      <w:r>
        <w:rPr>
          <w:rFonts w:hint="eastAsia" w:ascii="宋体"/>
          <w:kern w:val="0"/>
          <w:szCs w:val="21"/>
          <w:lang w:eastAsia="zh-CN"/>
        </w:rPr>
        <w:t>测量钍质量数</w:t>
      </w:r>
      <w:r>
        <w:rPr>
          <w:rFonts w:hint="eastAsia" w:ascii="宋体"/>
          <w:kern w:val="0"/>
          <w:szCs w:val="21"/>
          <w:lang w:val="en-US" w:eastAsia="zh-CN"/>
        </w:rPr>
        <w:t>选择232。</w:t>
      </w:r>
      <w:r>
        <w:rPr>
          <w:rFonts w:hint="eastAsia" w:ascii="宋体"/>
          <w:kern w:val="0"/>
          <w:szCs w:val="21"/>
        </w:rPr>
        <w:t>以各元素的浓度为横坐标，以响应值和内标响应值的比值为纵坐标，建立校准曲线。校准曲线的浓度范围可根据测量需要进行调整。</w:t>
      </w:r>
    </w:p>
    <w:p w14:paraId="0683339D">
      <w:pPr>
        <w:spacing w:line="332" w:lineRule="exact"/>
        <w:ind w:right="181" w:firstLine="420" w:firstLineChars="200"/>
        <w:jc w:val="left"/>
        <w:rPr>
          <w:rFonts w:hint="default" w:ascii="宋体" w:eastAsia="宋体"/>
          <w:kern w:val="0"/>
          <w:szCs w:val="21"/>
          <w:lang w:val="en-US" w:eastAsia="zh-CN"/>
        </w:rPr>
      </w:pPr>
    </w:p>
    <w:p w14:paraId="2EF53DE7">
      <w:pPr>
        <w:tabs>
          <w:tab w:val="left" w:pos="720"/>
        </w:tabs>
        <w:spacing w:line="262" w:lineRule="exact"/>
        <w:jc w:val="left"/>
        <w:rPr>
          <w:rFonts w:ascii="黑体" w:hAnsi="黑体" w:eastAsia="黑体"/>
          <w:kern w:val="0"/>
          <w:szCs w:val="21"/>
        </w:rPr>
      </w:pPr>
      <w:r>
        <w:rPr>
          <w:rFonts w:hint="eastAsia" w:ascii="宋体" w:hAnsi="宋体" w:cs="宋体"/>
          <w:b/>
          <w:bCs/>
          <w:kern w:val="0"/>
          <w:szCs w:val="21"/>
          <w:lang w:val="en-US" w:eastAsia="zh-CN"/>
        </w:rPr>
        <w:t>9</w:t>
      </w:r>
      <w:r>
        <w:rPr>
          <w:rFonts w:hint="eastAsia" w:ascii="宋体" w:hAnsi="宋体" w:cs="宋体"/>
          <w:b/>
          <w:bCs/>
          <w:kern w:val="0"/>
          <w:szCs w:val="21"/>
        </w:rPr>
        <w:t>.4</w:t>
      </w:r>
      <w:r>
        <w:rPr>
          <w:rFonts w:hint="eastAsia" w:ascii="黑体" w:hAnsi="黑体" w:eastAsia="黑体"/>
          <w:kern w:val="0"/>
          <w:szCs w:val="21"/>
        </w:rPr>
        <w:t>试样测定</w:t>
      </w:r>
    </w:p>
    <w:p w14:paraId="4180B310">
      <w:pPr>
        <w:tabs>
          <w:tab w:val="left" w:pos="720"/>
        </w:tabs>
        <w:spacing w:line="262" w:lineRule="exact"/>
        <w:jc w:val="left"/>
        <w:rPr>
          <w:rFonts w:ascii="黑体" w:hAnsi="黑体" w:eastAsia="黑体"/>
          <w:kern w:val="0"/>
          <w:szCs w:val="21"/>
        </w:rPr>
      </w:pPr>
    </w:p>
    <w:p w14:paraId="6D546D4C">
      <w:pPr>
        <w:spacing w:line="332" w:lineRule="exact"/>
        <w:ind w:right="181" w:firstLine="420" w:firstLineChars="200"/>
        <w:jc w:val="left"/>
        <w:rPr>
          <w:rFonts w:ascii="宋体"/>
          <w:kern w:val="0"/>
          <w:szCs w:val="21"/>
        </w:rPr>
      </w:pPr>
      <w:r>
        <w:rPr>
          <w:rFonts w:hint="eastAsia" w:ascii="宋体"/>
          <w:kern w:val="0"/>
          <w:szCs w:val="21"/>
        </w:rPr>
        <w:t>每个试样测定前，用硝酸溶液（5.5）冲洗系统直到信号降至最低，待分析信号稳定后才可开始测定。制备好的试样在与校准曲线测定相同的仪器分析条件下进行测定。若样品中待测元素浓度超出校准曲线范围，需经硝酸溶液（5.6）稀释后再重新测定。</w:t>
      </w:r>
    </w:p>
    <w:p w14:paraId="3767E832">
      <w:pPr>
        <w:spacing w:line="332" w:lineRule="exact"/>
        <w:ind w:right="181" w:firstLine="420" w:firstLineChars="200"/>
        <w:jc w:val="left"/>
        <w:rPr>
          <w:rFonts w:ascii="宋体"/>
          <w:kern w:val="0"/>
          <w:szCs w:val="21"/>
        </w:rPr>
      </w:pPr>
    </w:p>
    <w:p w14:paraId="30E7D9E3">
      <w:pPr>
        <w:spacing w:line="67" w:lineRule="exact"/>
        <w:rPr>
          <w:sz w:val="20"/>
          <w:szCs w:val="20"/>
        </w:rPr>
      </w:pPr>
    </w:p>
    <w:p w14:paraId="7A32D049">
      <w:pPr>
        <w:tabs>
          <w:tab w:val="left" w:pos="720"/>
        </w:tabs>
        <w:spacing w:line="262" w:lineRule="exact"/>
        <w:jc w:val="left"/>
        <w:rPr>
          <w:rFonts w:ascii="黑体" w:hAnsi="黑体" w:eastAsia="黑体"/>
          <w:kern w:val="0"/>
          <w:szCs w:val="21"/>
        </w:rPr>
      </w:pPr>
      <w:r>
        <w:rPr>
          <w:rFonts w:hint="eastAsia" w:ascii="宋体" w:hAnsi="宋体" w:cs="宋体"/>
          <w:b/>
          <w:bCs/>
          <w:kern w:val="0"/>
          <w:szCs w:val="21"/>
          <w:lang w:val="en-US" w:eastAsia="zh-CN"/>
        </w:rPr>
        <w:t>9</w:t>
      </w:r>
      <w:r>
        <w:rPr>
          <w:rFonts w:hint="eastAsia" w:ascii="宋体" w:hAnsi="宋体" w:cs="宋体"/>
          <w:b/>
          <w:bCs/>
          <w:kern w:val="0"/>
          <w:szCs w:val="21"/>
        </w:rPr>
        <w:t>.5</w:t>
      </w:r>
      <w:r>
        <w:rPr>
          <w:rFonts w:hint="eastAsia" w:ascii="黑体" w:hAnsi="黑体" w:eastAsia="黑体"/>
          <w:kern w:val="0"/>
          <w:szCs w:val="21"/>
        </w:rPr>
        <w:t>空白试样测定</w:t>
      </w:r>
    </w:p>
    <w:p w14:paraId="0A2E28E1">
      <w:pPr>
        <w:tabs>
          <w:tab w:val="left" w:pos="720"/>
        </w:tabs>
        <w:spacing w:line="262" w:lineRule="exact"/>
        <w:jc w:val="left"/>
        <w:rPr>
          <w:rFonts w:ascii="黑体" w:hAnsi="黑体" w:eastAsia="黑体"/>
          <w:kern w:val="0"/>
          <w:szCs w:val="21"/>
        </w:rPr>
      </w:pPr>
    </w:p>
    <w:p w14:paraId="07482089">
      <w:pPr>
        <w:spacing w:line="332" w:lineRule="exact"/>
        <w:ind w:right="181" w:firstLine="420" w:firstLineChars="200"/>
        <w:jc w:val="left"/>
        <w:rPr>
          <w:rFonts w:ascii="宋体"/>
          <w:kern w:val="0"/>
          <w:szCs w:val="21"/>
        </w:rPr>
      </w:pPr>
      <w:r>
        <w:rPr>
          <w:rFonts w:hint="eastAsia" w:ascii="宋体"/>
          <w:kern w:val="0"/>
          <w:szCs w:val="21"/>
        </w:rPr>
        <w:t>按照与试样相同的测定条件测定空白试样。</w:t>
      </w:r>
    </w:p>
    <w:p w14:paraId="6F04BD70">
      <w:pPr>
        <w:spacing w:line="332" w:lineRule="exact"/>
        <w:ind w:right="181" w:firstLine="420" w:firstLineChars="200"/>
        <w:jc w:val="left"/>
        <w:rPr>
          <w:rFonts w:ascii="宋体"/>
          <w:kern w:val="0"/>
          <w:szCs w:val="21"/>
        </w:rPr>
      </w:pPr>
    </w:p>
    <w:p w14:paraId="6D2D0787">
      <w:pPr>
        <w:tabs>
          <w:tab w:val="left" w:pos="620"/>
        </w:tabs>
        <w:spacing w:line="256" w:lineRule="exact"/>
        <w:jc w:val="left"/>
        <w:outlineLvl w:val="0"/>
        <w:rPr>
          <w:rFonts w:eastAsia="Times New Roman"/>
          <w:szCs w:val="21"/>
        </w:rPr>
      </w:pPr>
      <w:r>
        <w:rPr>
          <w:rFonts w:hint="eastAsia" w:ascii="宋体" w:hAnsi="宋体" w:cs="宋体"/>
          <w:b/>
          <w:bCs/>
          <w:kern w:val="0"/>
          <w:szCs w:val="21"/>
          <w:lang w:val="en-US" w:eastAsia="zh-CN"/>
        </w:rPr>
        <w:t>10</w:t>
      </w:r>
      <w:r>
        <w:rPr>
          <w:rFonts w:hint="eastAsia" w:ascii="宋体" w:hAnsi="宋体" w:cs="宋体"/>
          <w:b/>
          <w:bCs/>
          <w:kern w:val="0"/>
          <w:szCs w:val="21"/>
        </w:rPr>
        <w:t xml:space="preserve">  </w:t>
      </w:r>
      <w:r>
        <w:rPr>
          <w:rFonts w:ascii="黑体" w:hAnsi="黑体" w:eastAsia="黑体" w:cs="黑体"/>
          <w:szCs w:val="21"/>
        </w:rPr>
        <w:t>结果计算与表示</w:t>
      </w:r>
    </w:p>
    <w:p w14:paraId="4076734C">
      <w:pPr>
        <w:spacing w:line="224" w:lineRule="exact"/>
        <w:rPr>
          <w:sz w:val="20"/>
          <w:szCs w:val="20"/>
        </w:rPr>
      </w:pPr>
    </w:p>
    <w:p w14:paraId="19F23AC6">
      <w:pPr>
        <w:spacing w:line="256" w:lineRule="exact"/>
        <w:rPr>
          <w:rFonts w:ascii="黑体" w:hAnsi="黑体" w:eastAsia="黑体"/>
          <w:kern w:val="0"/>
          <w:szCs w:val="21"/>
        </w:rPr>
      </w:pPr>
      <w:r>
        <w:rPr>
          <w:rFonts w:hint="eastAsia" w:ascii="宋体" w:hAnsi="宋体" w:cs="宋体"/>
          <w:b/>
          <w:bCs/>
          <w:kern w:val="0"/>
          <w:szCs w:val="21"/>
          <w:lang w:val="en-US" w:eastAsia="zh-CN"/>
        </w:rPr>
        <w:t>10</w:t>
      </w:r>
      <w:r>
        <w:rPr>
          <w:rFonts w:hint="eastAsia" w:ascii="宋体" w:hAnsi="宋体" w:cs="宋体"/>
          <w:b/>
          <w:bCs/>
          <w:kern w:val="0"/>
          <w:szCs w:val="21"/>
        </w:rPr>
        <w:t>.1</w:t>
      </w:r>
      <w:r>
        <w:rPr>
          <w:rFonts w:hint="eastAsia" w:ascii="黑体" w:hAnsi="黑体" w:eastAsia="黑体"/>
          <w:kern w:val="0"/>
          <w:szCs w:val="21"/>
        </w:rPr>
        <w:t xml:space="preserve"> 固体废物测定结果的计算</w:t>
      </w:r>
    </w:p>
    <w:p w14:paraId="03626311">
      <w:pPr>
        <w:spacing w:line="104" w:lineRule="exact"/>
        <w:rPr>
          <w:rFonts w:eastAsia="Times New Roman"/>
          <w:sz w:val="24"/>
        </w:rPr>
      </w:pPr>
    </w:p>
    <w:p w14:paraId="2C792328">
      <w:pPr>
        <w:spacing w:line="256" w:lineRule="exact"/>
        <w:rPr>
          <w:rFonts w:eastAsia="Times New Roman"/>
          <w:sz w:val="24"/>
        </w:rPr>
      </w:pPr>
      <w:r>
        <w:rPr>
          <w:rFonts w:hint="eastAsia" w:ascii="宋体" w:hAnsi="宋体" w:cs="宋体"/>
          <w:b/>
          <w:bCs/>
          <w:kern w:val="0"/>
          <w:szCs w:val="21"/>
          <w:lang w:val="en-US" w:eastAsia="zh-CN"/>
        </w:rPr>
        <w:t>10</w:t>
      </w:r>
      <w:r>
        <w:rPr>
          <w:rFonts w:hint="eastAsia" w:ascii="宋体" w:hAnsi="宋体" w:cs="宋体"/>
          <w:b/>
          <w:bCs/>
          <w:kern w:val="0"/>
          <w:szCs w:val="21"/>
        </w:rPr>
        <w:t>.1.1</w:t>
      </w:r>
      <w:r>
        <w:rPr>
          <w:rFonts w:ascii="宋体" w:hAnsi="宋体" w:cs="宋体"/>
          <w:szCs w:val="21"/>
        </w:rPr>
        <w:t>固态和可干化的半固态固体废物</w:t>
      </w:r>
    </w:p>
    <w:p w14:paraId="416E1A3B">
      <w:pPr>
        <w:spacing w:line="19" w:lineRule="exact"/>
        <w:rPr>
          <w:rFonts w:eastAsia="Times New Roman"/>
          <w:sz w:val="24"/>
        </w:rPr>
      </w:pPr>
    </w:p>
    <w:p w14:paraId="26A4F908">
      <w:pPr>
        <w:tabs>
          <w:tab w:val="left" w:pos="720"/>
        </w:tabs>
        <w:spacing w:line="320" w:lineRule="exact"/>
      </w:pPr>
      <w:r>
        <w:rPr>
          <w:rFonts w:hint="eastAsia" w:ascii="宋体" w:hAnsi="宋体" w:cs="宋体"/>
          <w:b/>
          <w:bCs/>
          <w:kern w:val="0"/>
          <w:szCs w:val="21"/>
          <w:lang w:val="en-US" w:eastAsia="zh-CN"/>
        </w:rPr>
        <w:t>10</w:t>
      </w:r>
      <w:r>
        <w:rPr>
          <w:rFonts w:hint="eastAsia" w:ascii="宋体" w:hAnsi="宋体" w:cs="宋体"/>
          <w:b/>
          <w:bCs/>
          <w:kern w:val="0"/>
          <w:szCs w:val="21"/>
        </w:rPr>
        <w:t>.1.1.1</w:t>
      </w:r>
      <w:r>
        <w:rPr>
          <w:rFonts w:ascii="宋体" w:hAnsi="宋体" w:cs="宋体"/>
          <w:szCs w:val="21"/>
        </w:rPr>
        <w:t>固体废物中待测元素的含量</w:t>
      </w:r>
      <w:r>
        <w:rPr>
          <w:rFonts w:ascii="Arial Unicode MS" w:hAnsi="Arial Unicode MS" w:eastAsia="Arial Unicode MS" w:cs="Arial Unicode MS"/>
          <w:i/>
          <w:iCs/>
          <w:sz w:val="23"/>
          <w:szCs w:val="23"/>
        </w:rPr>
        <w:t>ω</w:t>
      </w:r>
      <w:r>
        <w:rPr>
          <w:rFonts w:ascii="宋体" w:hAnsi="宋体" w:cs="宋体"/>
          <w:szCs w:val="21"/>
        </w:rPr>
        <w:t>（</w:t>
      </w:r>
      <w:r>
        <w:rPr>
          <w:rFonts w:eastAsia="Times New Roman"/>
          <w:szCs w:val="21"/>
        </w:rPr>
        <w:t>mg/kg</w:t>
      </w:r>
      <w:r>
        <w:rPr>
          <w:rFonts w:ascii="宋体" w:hAnsi="宋体" w:cs="宋体"/>
          <w:szCs w:val="21"/>
        </w:rPr>
        <w:t>）按照公式（</w:t>
      </w:r>
      <w:r>
        <w:rPr>
          <w:rFonts w:hint="eastAsia" w:ascii="宋体" w:hAnsi="宋体" w:cs="宋体"/>
          <w:szCs w:val="21"/>
        </w:rPr>
        <w:t>1</w:t>
      </w:r>
      <w:r>
        <w:rPr>
          <w:rFonts w:ascii="宋体" w:hAnsi="宋体" w:cs="宋体"/>
          <w:szCs w:val="21"/>
        </w:rPr>
        <w:t>）进行计算。</w:t>
      </w:r>
    </w:p>
    <w:p w14:paraId="28BB903D">
      <w:pPr>
        <w:ind w:firstLine="420" w:firstLineChars="200"/>
      </w:pPr>
    </w:p>
    <w:p w14:paraId="61BFF4BF">
      <w:pPr>
        <w:ind w:firstLine="460" w:firstLineChars="200"/>
        <w:rPr>
          <w:rFonts w:hint="eastAsia" w:hAnsi="Cambria Math" w:cs="Arial"/>
          <w:sz w:val="30"/>
          <w:szCs w:val="30"/>
          <w:vertAlign w:val="superscript"/>
        </w:rPr>
      </w:pPr>
      <w:r>
        <w:rPr>
          <w:rFonts w:ascii="Arial Unicode MS" w:hAnsi="Arial Unicode MS" w:eastAsia="Arial Unicode MS" w:cs="Arial Unicode MS"/>
          <w:i/>
          <w:iCs/>
          <w:sz w:val="23"/>
          <w:szCs w:val="23"/>
        </w:rPr>
        <w:t>ω</w:t>
      </w:r>
      <w:r>
        <w:rPr>
          <w:rFonts w:hint="eastAsia" w:ascii="Arial Unicode MS" w:hAnsi="Arial Unicode MS" w:eastAsia="Arial Unicode MS" w:cs="Arial Unicode MS"/>
          <w:sz w:val="30"/>
          <w:szCs w:val="30"/>
        </w:rPr>
        <w:t xml:space="preserve">= </w:t>
      </w:r>
      <m:oMath>
        <m:f>
          <m:fPr>
            <m:ctrlPr>
              <w:rPr>
                <w:rFonts w:ascii="Cambria Math" w:hAnsi="Cambria Math" w:cs="Arial Unicode MS"/>
                <w:i/>
                <w:sz w:val="30"/>
                <w:szCs w:val="30"/>
              </w:rPr>
            </m:ctrlPr>
          </m:fPr>
          <m:num>
            <m:r>
              <m:rPr/>
              <w:rPr>
                <w:rFonts w:ascii="Cambria Math" w:hAnsi="Cambria Math" w:cs="Arial Unicode MS"/>
                <w:sz w:val="30"/>
                <w:szCs w:val="30"/>
              </w:rPr>
              <m:t>（</m:t>
            </m:r>
            <m:r>
              <m:rPr/>
              <w:rPr>
                <w:rFonts w:ascii="Cambria Math" w:hAnsi="Cambria Math" w:cs="Cambria Math"/>
                <w:sz w:val="30"/>
                <w:szCs w:val="30"/>
                <w:vertAlign w:val="subscript"/>
              </w:rPr>
              <m:t>ρ</m:t>
            </m:r>
            <m:r>
              <m:rPr/>
              <w:rPr>
                <w:rFonts w:eastAsia="Times New Roman"/>
                <w:sz w:val="30"/>
                <w:szCs w:val="30"/>
                <w:vertAlign w:val="subscript"/>
              </w:rPr>
              <m:t>x</m:t>
            </m:r>
            <m:r>
              <m:rPr/>
              <w:rPr>
                <w:rFonts w:ascii="Cambria Math" w:hAnsi="Cambria Math"/>
                <w:sz w:val="30"/>
                <w:szCs w:val="30"/>
                <w:vertAlign w:val="subscript"/>
              </w:rPr>
              <m:t>−</m:t>
            </m:r>
            <m:r>
              <m:rPr/>
              <w:rPr>
                <w:rFonts w:ascii="Cambria Math" w:hAnsi="Cambria Math" w:cs="Cambria Math"/>
                <w:sz w:val="30"/>
                <w:szCs w:val="30"/>
                <w:vertAlign w:val="subscript"/>
              </w:rPr>
              <m:t>ρo</m:t>
            </m:r>
            <m:r>
              <m:rPr>
                <m:sty m:val="p"/>
              </m:rPr>
              <w:rPr>
                <w:rFonts w:ascii="Cambria Math" w:hAnsi="Cambria Math"/>
                <w:sz w:val="30"/>
                <w:szCs w:val="30"/>
              </w:rPr>
              <m:t>）</m:t>
            </m:r>
            <m:r>
              <m:rPr>
                <m:sty m:val="p"/>
              </m:rPr>
              <w:rPr>
                <w:rFonts w:ascii="Cambria Math" w:hAnsi="Cambria Math" w:cs="Arial"/>
                <w:sz w:val="30"/>
                <w:szCs w:val="30"/>
              </w:rPr>
              <m:t>×</m:t>
            </m:r>
            <m:r>
              <m:rPr>
                <m:sty m:val="p"/>
              </m:rPr>
              <w:rPr>
                <w:rFonts w:ascii="Cambria Math" w:hAnsi="Cambria Math"/>
                <w:sz w:val="30"/>
                <w:szCs w:val="30"/>
              </w:rPr>
              <m:t xml:space="preserve">V </m:t>
            </m:r>
            <m:r>
              <m:rPr>
                <m:sty m:val="p"/>
              </m:rPr>
              <w:rPr>
                <w:rFonts w:ascii="Cambria Math" w:hAnsi="Cambria Math" w:cs="Arial"/>
                <w:sz w:val="30"/>
                <w:szCs w:val="30"/>
              </w:rPr>
              <m:t xml:space="preserve">× </m:t>
            </m:r>
            <m:r>
              <m:rPr>
                <m:sty m:val="p"/>
              </m:rPr>
              <w:rPr>
                <w:rFonts w:ascii="Cambria Math" w:hAnsi="Cambria Math"/>
                <w:sz w:val="30"/>
                <w:szCs w:val="30"/>
              </w:rPr>
              <m:t>n</m:t>
            </m:r>
            <m:ctrlPr>
              <w:rPr>
                <w:rFonts w:ascii="Cambria Math" w:hAnsi="Cambria Math" w:cs="Arial Unicode MS"/>
                <w:i/>
                <w:sz w:val="30"/>
                <w:szCs w:val="30"/>
              </w:rPr>
            </m:ctrlPr>
          </m:num>
          <m:den>
            <m:r>
              <m:rPr/>
              <w:rPr>
                <w:rFonts w:ascii="Cambria Math" w:hAnsi="Cambria Math" w:cs="Arial Unicode MS"/>
                <w:sz w:val="30"/>
                <w:szCs w:val="30"/>
              </w:rPr>
              <m:t>m</m:t>
            </m:r>
            <m:r>
              <m:rPr/>
              <w:rPr>
                <w:rFonts w:ascii="Cambria Math" w:hAnsi="Cambria Math" w:cs="Arial Unicode MS"/>
                <w:sz w:val="30"/>
                <w:szCs w:val="30"/>
                <w:vertAlign w:val="subscript"/>
              </w:rPr>
              <m:t>3</m:t>
            </m:r>
            <m:ctrlPr>
              <w:rPr>
                <w:rFonts w:ascii="Cambria Math" w:hAnsi="Cambria Math" w:cs="Arial Unicode MS"/>
                <w:i/>
                <w:sz w:val="30"/>
                <w:szCs w:val="30"/>
              </w:rPr>
            </m:ctrlPr>
          </m:den>
        </m:f>
      </m:oMath>
      <w:r>
        <w:rPr>
          <w:rFonts w:ascii="Arial" w:hAnsi="Arial" w:cs="Arial"/>
          <w:sz w:val="30"/>
          <w:szCs w:val="30"/>
        </w:rPr>
        <w:t>×</w:t>
      </w:r>
      <m:oMath>
        <m:f>
          <m:fPr>
            <m:ctrlPr>
              <w:rPr>
                <w:rFonts w:ascii="Cambria Math" w:hAnsi="Cambria Math" w:cs="Arial"/>
                <w:i/>
                <w:sz w:val="30"/>
                <w:szCs w:val="30"/>
              </w:rPr>
            </m:ctrlPr>
          </m:fPr>
          <m:num>
            <m:r>
              <m:rPr/>
              <w:rPr>
                <w:rFonts w:ascii="Cambria Math" w:hAnsi="Cambria Math" w:cs="Arial"/>
                <w:sz w:val="30"/>
                <w:szCs w:val="30"/>
              </w:rPr>
              <m:t>m2</m:t>
            </m:r>
            <m:ctrlPr>
              <w:rPr>
                <w:rFonts w:ascii="Cambria Math" w:hAnsi="Cambria Math" w:cs="Arial"/>
                <w:i/>
                <w:sz w:val="30"/>
                <w:szCs w:val="30"/>
              </w:rPr>
            </m:ctrlPr>
          </m:num>
          <m:den>
            <m:r>
              <m:rPr/>
              <w:rPr>
                <w:rFonts w:ascii="Cambria Math" w:hAnsi="Cambria Math" w:cs="Arial"/>
                <w:sz w:val="30"/>
                <w:szCs w:val="30"/>
              </w:rPr>
              <m:t>m1</m:t>
            </m:r>
            <m:ctrlPr>
              <w:rPr>
                <w:rFonts w:ascii="Cambria Math" w:hAnsi="Cambria Math" w:cs="Arial"/>
                <w:i/>
                <w:sz w:val="30"/>
                <w:szCs w:val="30"/>
              </w:rPr>
            </m:ctrlPr>
          </m:den>
        </m:f>
      </m:oMath>
      <w:r>
        <w:rPr>
          <w:rFonts w:ascii="Arial" w:hAnsi="Arial" w:cs="Arial"/>
          <w:sz w:val="30"/>
          <w:szCs w:val="30"/>
        </w:rPr>
        <w:t>×</w:t>
      </w:r>
      <w:r>
        <w:rPr>
          <w:rFonts w:hint="eastAsia" w:hAnsi="Cambria Math" w:cs="Arial"/>
          <w:sz w:val="30"/>
          <w:szCs w:val="30"/>
        </w:rPr>
        <w:t>10</w:t>
      </w:r>
      <w:r>
        <w:rPr>
          <w:rFonts w:hint="eastAsia" w:hAnsi="Cambria Math" w:cs="Arial"/>
          <w:sz w:val="30"/>
          <w:szCs w:val="30"/>
          <w:vertAlign w:val="superscript"/>
        </w:rPr>
        <w:t>-3                              (1)</w:t>
      </w:r>
    </w:p>
    <w:p w14:paraId="06BE04E8">
      <w:pPr>
        <w:ind w:firstLine="600" w:firstLineChars="200"/>
        <w:rPr>
          <w:rFonts w:hint="eastAsia" w:hAnsi="Cambria Math" w:cs="Arial"/>
          <w:sz w:val="30"/>
          <w:szCs w:val="30"/>
          <w:vertAlign w:val="superscript"/>
        </w:rPr>
      </w:pPr>
    </w:p>
    <w:p w14:paraId="171C65AF">
      <w:pPr>
        <w:spacing w:line="240" w:lineRule="exact"/>
        <w:jc w:val="left"/>
        <w:rPr>
          <w:sz w:val="20"/>
          <w:szCs w:val="20"/>
        </w:rPr>
      </w:pPr>
      <w:r>
        <w:rPr>
          <w:rFonts w:ascii="宋体" w:hAnsi="宋体" w:cs="宋体"/>
          <w:szCs w:val="21"/>
        </w:rPr>
        <w:t>式中：</w:t>
      </w:r>
      <w:r>
        <w:rPr>
          <w:rFonts w:ascii="Arial Unicode MS" w:hAnsi="Arial Unicode MS" w:eastAsia="Arial Unicode MS" w:cs="Arial Unicode MS"/>
          <w:i/>
          <w:iCs/>
          <w:sz w:val="23"/>
          <w:szCs w:val="23"/>
        </w:rPr>
        <w:t>ω</w:t>
      </w:r>
      <w:r>
        <w:rPr>
          <w:rFonts w:eastAsia="Times New Roman"/>
          <w:sz w:val="20"/>
          <w:szCs w:val="20"/>
        </w:rPr>
        <w:t>—</w:t>
      </w:r>
      <w:r>
        <w:rPr>
          <w:rFonts w:ascii="宋体" w:hAnsi="宋体" w:cs="宋体"/>
          <w:sz w:val="20"/>
          <w:szCs w:val="20"/>
        </w:rPr>
        <w:t>固体废物中待测</w:t>
      </w:r>
      <w:r>
        <w:rPr>
          <w:rFonts w:hint="eastAsia" w:ascii="宋体" w:hAnsi="宋体" w:cs="宋体"/>
          <w:sz w:val="20"/>
          <w:szCs w:val="20"/>
        </w:rPr>
        <w:t>铀</w:t>
      </w:r>
      <w:r>
        <w:rPr>
          <w:rFonts w:hint="eastAsia" w:ascii="宋体" w:hAnsi="宋体" w:cs="宋体"/>
          <w:sz w:val="20"/>
          <w:szCs w:val="20"/>
          <w:lang w:eastAsia="zh-CN"/>
        </w:rPr>
        <w:t>或</w:t>
      </w:r>
      <w:r>
        <w:rPr>
          <w:rFonts w:hint="eastAsia" w:ascii="宋体" w:hAnsi="宋体" w:cs="宋体"/>
          <w:sz w:val="20"/>
          <w:szCs w:val="20"/>
        </w:rPr>
        <w:t>钍</w:t>
      </w:r>
      <w:r>
        <w:rPr>
          <w:rFonts w:ascii="宋体" w:hAnsi="宋体" w:cs="宋体"/>
          <w:sz w:val="20"/>
          <w:szCs w:val="20"/>
        </w:rPr>
        <w:t>元素的含量，</w:t>
      </w:r>
      <w:r>
        <w:rPr>
          <w:rFonts w:eastAsia="Times New Roman"/>
          <w:sz w:val="20"/>
          <w:szCs w:val="20"/>
        </w:rPr>
        <w:t>mg/kg</w:t>
      </w:r>
      <w:r>
        <w:rPr>
          <w:rFonts w:ascii="宋体" w:hAnsi="宋体" w:cs="宋体"/>
          <w:sz w:val="20"/>
          <w:szCs w:val="20"/>
        </w:rPr>
        <w:t>；</w:t>
      </w:r>
    </w:p>
    <w:p w14:paraId="5CCF653E">
      <w:pPr>
        <w:spacing w:line="1" w:lineRule="exact"/>
        <w:rPr>
          <w:sz w:val="20"/>
          <w:szCs w:val="20"/>
        </w:rPr>
      </w:pPr>
    </w:p>
    <w:p w14:paraId="64B03B1D">
      <w:pPr>
        <w:spacing w:line="350" w:lineRule="exact"/>
        <w:ind w:right="1964" w:firstLine="630" w:firstLineChars="300"/>
        <w:rPr>
          <w:rFonts w:ascii="宋体" w:hAnsi="宋体" w:cs="宋体"/>
          <w:szCs w:val="21"/>
        </w:rPr>
      </w:pPr>
      <m:oMath>
        <m:r>
          <m:rPr/>
          <w:rPr>
            <w:rFonts w:ascii="Cambria Math" w:hAnsi="Cambria Math" w:cs="Cambria Math"/>
            <w:sz w:val="21"/>
            <w:szCs w:val="21"/>
            <w:vertAlign w:val="subscript"/>
          </w:rPr>
          <m:t>ρ</m:t>
        </m:r>
        <m:r>
          <m:rPr/>
          <w:rPr>
            <w:rFonts w:eastAsia="Times New Roman"/>
            <w:sz w:val="21"/>
            <w:szCs w:val="21"/>
            <w:vertAlign w:val="subscript"/>
          </w:rPr>
          <m:t>x</m:t>
        </m:r>
      </m:oMath>
      <w:r>
        <w:rPr>
          <w:rFonts w:eastAsia="Times New Roman"/>
          <w:szCs w:val="21"/>
          <w:vertAlign w:val="subscript"/>
        </w:rPr>
        <w:t xml:space="preserve"> </w:t>
      </w:r>
      <w:r>
        <w:rPr>
          <w:rFonts w:eastAsia="Times New Roman"/>
          <w:szCs w:val="21"/>
        </w:rPr>
        <w:t>—</w:t>
      </w:r>
      <w:r>
        <w:rPr>
          <w:rFonts w:ascii="宋体" w:hAnsi="宋体" w:cs="宋体"/>
          <w:szCs w:val="21"/>
        </w:rPr>
        <w:t>由校准曲线计算测定试样中待测元素的浓度，</w:t>
      </w:r>
      <w:r>
        <w:rPr>
          <w:rFonts w:eastAsia="Times New Roman"/>
          <w:szCs w:val="21"/>
        </w:rPr>
        <w:t>µg/L</w:t>
      </w:r>
      <w:r>
        <w:rPr>
          <w:rFonts w:ascii="宋体" w:hAnsi="宋体" w:cs="宋体"/>
          <w:szCs w:val="21"/>
        </w:rPr>
        <w:t>；</w:t>
      </w:r>
    </w:p>
    <w:p w14:paraId="24A4FC86">
      <w:pPr>
        <w:spacing w:line="350" w:lineRule="exact"/>
        <w:ind w:right="1964" w:firstLine="630" w:firstLineChars="300"/>
        <w:rPr>
          <w:sz w:val="20"/>
          <w:szCs w:val="20"/>
        </w:rPr>
      </w:pPr>
      <m:oMath>
        <m:r>
          <m:rPr/>
          <w:rPr>
            <w:rFonts w:ascii="Cambria Math" w:hAnsi="Cambria Math" w:cs="Cambria Math"/>
            <w:sz w:val="21"/>
            <w:szCs w:val="21"/>
            <w:vertAlign w:val="subscript"/>
          </w:rPr>
          <m:t>ρo</m:t>
        </m:r>
      </m:oMath>
      <w:r>
        <w:rPr>
          <w:rFonts w:eastAsia="Times New Roman"/>
          <w:sz w:val="21"/>
          <w:szCs w:val="21"/>
        </w:rPr>
        <w:t xml:space="preserve"> </w:t>
      </w:r>
      <w:r>
        <w:rPr>
          <w:rFonts w:eastAsia="Times New Roman"/>
          <w:szCs w:val="21"/>
        </w:rPr>
        <w:t>—</w:t>
      </w:r>
      <w:r>
        <w:rPr>
          <w:rFonts w:ascii="宋体" w:hAnsi="宋体" w:cs="宋体"/>
          <w:szCs w:val="21"/>
        </w:rPr>
        <w:t>空白试样中待测元素浓度，</w:t>
      </w:r>
      <w:r>
        <w:rPr>
          <w:rFonts w:eastAsia="Times New Roman"/>
          <w:szCs w:val="21"/>
        </w:rPr>
        <w:t>µg/L</w:t>
      </w:r>
      <w:r>
        <w:rPr>
          <w:rFonts w:ascii="宋体" w:hAnsi="宋体" w:cs="宋体"/>
          <w:szCs w:val="21"/>
        </w:rPr>
        <w:t>；</w:t>
      </w:r>
    </w:p>
    <w:p w14:paraId="050D067B">
      <w:pPr>
        <w:spacing w:line="47" w:lineRule="exact"/>
        <w:rPr>
          <w:sz w:val="20"/>
          <w:szCs w:val="20"/>
        </w:rPr>
      </w:pPr>
    </w:p>
    <w:p w14:paraId="0DBD29F3">
      <w:pPr>
        <w:tabs>
          <w:tab w:val="left" w:pos="1560"/>
        </w:tabs>
        <w:spacing w:line="276" w:lineRule="exact"/>
        <w:ind w:firstLine="630" w:firstLineChars="300"/>
        <w:jc w:val="left"/>
        <w:rPr>
          <w:rFonts w:ascii="宋体" w:hAnsi="宋体" w:cs="宋体"/>
          <w:szCs w:val="21"/>
        </w:rPr>
      </w:pPr>
      <m:oMath>
        <m:r>
          <m:rPr>
            <m:sty m:val="p"/>
          </m:rPr>
          <w:rPr>
            <w:rFonts w:ascii="Cambria Math" w:hAnsi="Cambria Math"/>
            <w:sz w:val="21"/>
            <w:szCs w:val="21"/>
          </w:rPr>
          <m:t>V</m:t>
        </m:r>
      </m:oMath>
      <w:r>
        <w:rPr>
          <w:rFonts w:eastAsia="Times New Roman"/>
          <w:szCs w:val="21"/>
        </w:rPr>
        <w:t>—</w:t>
      </w:r>
      <w:r>
        <w:rPr>
          <w:rFonts w:ascii="宋体" w:hAnsi="宋体" w:cs="宋体"/>
          <w:szCs w:val="21"/>
        </w:rPr>
        <w:t>消解后试样的定容体积，</w:t>
      </w:r>
      <w:r>
        <w:rPr>
          <w:rFonts w:eastAsia="Times New Roman"/>
          <w:szCs w:val="21"/>
        </w:rPr>
        <w:t>m</w:t>
      </w:r>
      <w:r>
        <w:rPr>
          <w:rFonts w:hint="eastAsia"/>
          <w:szCs w:val="21"/>
        </w:rPr>
        <w:t>L</w:t>
      </w:r>
      <w:r>
        <w:rPr>
          <w:rFonts w:ascii="宋体" w:hAnsi="宋体" w:cs="宋体"/>
          <w:szCs w:val="21"/>
        </w:rPr>
        <w:t>；</w:t>
      </w:r>
    </w:p>
    <w:p w14:paraId="04635B38">
      <w:pPr>
        <w:tabs>
          <w:tab w:val="left" w:pos="1560"/>
        </w:tabs>
        <w:spacing w:line="276" w:lineRule="exact"/>
        <w:ind w:firstLine="630" w:firstLineChars="300"/>
        <w:jc w:val="left"/>
        <w:rPr>
          <w:rFonts w:ascii="宋体" w:hAnsi="宋体" w:cs="宋体"/>
          <w:szCs w:val="21"/>
        </w:rPr>
      </w:pPr>
      <m:oMath>
        <m:r>
          <m:rPr>
            <m:sty m:val="p"/>
          </m:rPr>
          <w:rPr>
            <w:rFonts w:ascii="Cambria Math" w:hAnsi="Cambria Math" w:cs="Arial"/>
            <w:sz w:val="21"/>
            <w:szCs w:val="21"/>
          </w:rPr>
          <m:t xml:space="preserve"> </m:t>
        </m:r>
        <m:r>
          <m:rPr>
            <m:sty m:val="p"/>
          </m:rPr>
          <w:rPr>
            <w:rFonts w:ascii="Cambria Math" w:hAnsi="Cambria Math"/>
            <w:sz w:val="21"/>
            <w:szCs w:val="21"/>
          </w:rPr>
          <m:t>n</m:t>
        </m:r>
      </m:oMath>
      <w:r>
        <w:rPr>
          <w:rFonts w:eastAsia="Times New Roman"/>
          <w:szCs w:val="21"/>
        </w:rPr>
        <w:t>—</w:t>
      </w:r>
      <w:r>
        <w:rPr>
          <w:rFonts w:hint="eastAsia"/>
          <w:szCs w:val="21"/>
        </w:rPr>
        <w:t>稀释倍数；</w:t>
      </w:r>
    </w:p>
    <w:p w14:paraId="7742F9C8">
      <w:pPr>
        <w:spacing w:line="29" w:lineRule="exact"/>
        <w:rPr>
          <w:sz w:val="20"/>
          <w:szCs w:val="20"/>
        </w:rPr>
      </w:pPr>
    </w:p>
    <w:p w14:paraId="0523B693">
      <w:pPr>
        <w:spacing w:line="311" w:lineRule="exact"/>
        <w:ind w:firstLine="630" w:firstLineChars="300"/>
        <w:rPr>
          <w:sz w:val="20"/>
          <w:szCs w:val="20"/>
        </w:rPr>
      </w:pPr>
      <m:oMath>
        <m:r>
          <m:rPr/>
          <w:rPr>
            <w:rFonts w:ascii="Cambria Math" w:hAnsi="Cambria Math" w:cs="Arial"/>
            <w:sz w:val="21"/>
            <w:szCs w:val="21"/>
          </w:rPr>
          <m:t>m1</m:t>
        </m:r>
      </m:oMath>
      <w:r>
        <w:rPr>
          <w:rFonts w:eastAsia="Times New Roman"/>
          <w:szCs w:val="21"/>
        </w:rPr>
        <w:t>—</w:t>
      </w:r>
      <w:r>
        <w:rPr>
          <w:rFonts w:ascii="宋体" w:hAnsi="宋体" w:cs="宋体"/>
          <w:szCs w:val="21"/>
        </w:rPr>
        <w:t>样品的称取量，</w:t>
      </w:r>
      <w:r>
        <w:rPr>
          <w:rFonts w:eastAsia="Times New Roman"/>
          <w:szCs w:val="21"/>
        </w:rPr>
        <w:t>g</w:t>
      </w:r>
      <w:r>
        <w:rPr>
          <w:rFonts w:ascii="宋体" w:hAnsi="宋体" w:cs="宋体"/>
          <w:szCs w:val="21"/>
        </w:rPr>
        <w:t>；</w:t>
      </w:r>
    </w:p>
    <w:p w14:paraId="0C455CE5">
      <w:pPr>
        <w:spacing w:line="59" w:lineRule="exact"/>
        <w:rPr>
          <w:sz w:val="20"/>
          <w:szCs w:val="20"/>
        </w:rPr>
      </w:pPr>
    </w:p>
    <w:p w14:paraId="3413E1A2">
      <w:pPr>
        <w:spacing w:line="311" w:lineRule="exact"/>
        <w:ind w:firstLine="630" w:firstLineChars="300"/>
        <w:rPr>
          <w:sz w:val="20"/>
          <w:szCs w:val="20"/>
        </w:rPr>
      </w:pPr>
      <m:oMath>
        <m:r>
          <m:rPr/>
          <w:rPr>
            <w:rFonts w:ascii="Cambria Math" w:hAnsi="Cambria Math" w:cs="Arial"/>
            <w:sz w:val="21"/>
            <w:szCs w:val="21"/>
          </w:rPr>
          <m:t>m2</m:t>
        </m:r>
      </m:oMath>
      <w:r>
        <w:rPr>
          <w:rFonts w:eastAsia="Times New Roman"/>
          <w:szCs w:val="21"/>
        </w:rPr>
        <w:t>—</w:t>
      </w:r>
      <w:r>
        <w:rPr>
          <w:rFonts w:ascii="宋体" w:hAnsi="宋体" w:cs="宋体"/>
          <w:szCs w:val="21"/>
        </w:rPr>
        <w:t>干燥后样品的质量，</w:t>
      </w:r>
      <w:r>
        <w:rPr>
          <w:rFonts w:eastAsia="Times New Roman"/>
          <w:szCs w:val="21"/>
        </w:rPr>
        <w:t>g</w:t>
      </w:r>
      <w:r>
        <w:rPr>
          <w:rFonts w:ascii="宋体" w:hAnsi="宋体" w:cs="宋体"/>
          <w:szCs w:val="21"/>
        </w:rPr>
        <w:t>；</w:t>
      </w:r>
    </w:p>
    <w:p w14:paraId="6BB90C3D">
      <w:pPr>
        <w:spacing w:line="50" w:lineRule="exact"/>
        <w:rPr>
          <w:sz w:val="20"/>
          <w:szCs w:val="20"/>
        </w:rPr>
      </w:pPr>
    </w:p>
    <w:p w14:paraId="37716A59">
      <w:pPr>
        <w:spacing w:line="311" w:lineRule="exact"/>
        <w:ind w:firstLine="630" w:firstLineChars="300"/>
        <w:rPr>
          <w:rFonts w:ascii="宋体" w:hAnsi="宋体" w:cs="宋体"/>
          <w:szCs w:val="21"/>
        </w:rPr>
      </w:pPr>
      <m:oMath>
        <m:r>
          <m:rPr/>
          <w:rPr>
            <w:rFonts w:ascii="Cambria Math" w:hAnsi="Cambria Math" w:cs="Arial Unicode MS"/>
            <w:sz w:val="21"/>
            <w:szCs w:val="21"/>
          </w:rPr>
          <m:t>m</m:t>
        </m:r>
        <m:r>
          <m:rPr/>
          <w:rPr>
            <w:rFonts w:ascii="Cambria Math" w:hAnsi="Cambria Math" w:cs="Arial Unicode MS"/>
            <w:sz w:val="21"/>
            <w:szCs w:val="21"/>
            <w:vertAlign w:val="subscript"/>
          </w:rPr>
          <m:t>3</m:t>
        </m:r>
      </m:oMath>
      <w:r>
        <w:rPr>
          <w:rFonts w:eastAsia="Times New Roman"/>
          <w:szCs w:val="21"/>
        </w:rPr>
        <w:t>—</w:t>
      </w:r>
      <w:r>
        <w:rPr>
          <w:rFonts w:ascii="宋体" w:hAnsi="宋体" w:cs="宋体"/>
          <w:szCs w:val="21"/>
        </w:rPr>
        <w:t>称取过筛后试样的质量，</w:t>
      </w:r>
      <w:r>
        <w:rPr>
          <w:rFonts w:eastAsia="Times New Roman"/>
          <w:szCs w:val="21"/>
        </w:rPr>
        <w:t>g</w:t>
      </w:r>
      <w:r>
        <w:rPr>
          <w:rFonts w:ascii="宋体" w:hAnsi="宋体" w:cs="宋体"/>
          <w:szCs w:val="21"/>
        </w:rPr>
        <w:t>。</w:t>
      </w:r>
    </w:p>
    <w:p w14:paraId="010E331E">
      <w:pPr>
        <w:spacing w:line="311" w:lineRule="exact"/>
        <w:ind w:firstLine="1050" w:firstLineChars="500"/>
        <w:rPr>
          <w:rFonts w:ascii="宋体" w:hAnsi="宋体" w:cs="宋体"/>
          <w:szCs w:val="21"/>
        </w:rPr>
      </w:pPr>
    </w:p>
    <w:p w14:paraId="2985701E">
      <w:pPr>
        <w:tabs>
          <w:tab w:val="left" w:pos="720"/>
        </w:tabs>
        <w:spacing w:line="320" w:lineRule="exact"/>
        <w:rPr>
          <w:rFonts w:ascii="宋体" w:hAnsi="宋体" w:cs="宋体"/>
          <w:szCs w:val="21"/>
        </w:rPr>
      </w:pPr>
      <w:r>
        <w:rPr>
          <w:rFonts w:hint="eastAsia" w:ascii="宋体" w:hAnsi="宋体" w:cs="宋体"/>
          <w:b/>
          <w:bCs/>
          <w:kern w:val="0"/>
          <w:szCs w:val="21"/>
          <w:lang w:val="en-US" w:eastAsia="zh-CN"/>
        </w:rPr>
        <w:t>10</w:t>
      </w:r>
      <w:r>
        <w:rPr>
          <w:rFonts w:hint="eastAsia" w:ascii="宋体" w:hAnsi="宋体" w:cs="宋体"/>
          <w:b/>
          <w:bCs/>
          <w:kern w:val="0"/>
          <w:szCs w:val="21"/>
        </w:rPr>
        <w:t>.1.1.2</w:t>
      </w:r>
      <w:r>
        <w:rPr>
          <w:rFonts w:ascii="宋体" w:hAnsi="宋体" w:cs="宋体"/>
          <w:szCs w:val="21"/>
        </w:rPr>
        <w:t>固体废物中</w:t>
      </w:r>
      <w:r>
        <w:rPr>
          <w:rFonts w:hint="eastAsia" w:ascii="宋体" w:hAnsi="宋体" w:cs="宋体"/>
          <w:szCs w:val="21"/>
        </w:rPr>
        <w:t>铀-238比活度</w:t>
      </w:r>
      <w:r>
        <w:rPr>
          <w:rFonts w:hint="eastAsia" w:ascii="宋体" w:hAnsi="宋体" w:cs="宋体"/>
          <w:i/>
          <w:iCs/>
          <w:sz w:val="30"/>
          <w:szCs w:val="30"/>
        </w:rPr>
        <w:t>Ar</w:t>
      </w:r>
      <w:r>
        <w:rPr>
          <w:rFonts w:ascii="宋体" w:hAnsi="宋体" w:cs="宋体"/>
          <w:szCs w:val="21"/>
        </w:rPr>
        <w:t>（</w:t>
      </w:r>
      <w:r>
        <w:rPr>
          <w:rFonts w:hint="eastAsia" w:ascii="宋体" w:hAnsi="宋体" w:cs="宋体"/>
          <w:szCs w:val="21"/>
        </w:rPr>
        <w:t>Bq</w:t>
      </w:r>
      <w:r>
        <w:rPr>
          <w:rFonts w:eastAsia="Times New Roman"/>
          <w:szCs w:val="21"/>
        </w:rPr>
        <w:t>/kg</w:t>
      </w:r>
      <w:r>
        <w:rPr>
          <w:rFonts w:ascii="宋体" w:hAnsi="宋体" w:cs="宋体"/>
          <w:szCs w:val="21"/>
        </w:rPr>
        <w:t>）按照公式（</w:t>
      </w:r>
      <w:r>
        <w:rPr>
          <w:rFonts w:hint="eastAsia" w:ascii="宋体" w:hAnsi="宋体" w:cs="宋体"/>
          <w:szCs w:val="21"/>
        </w:rPr>
        <w:t>2</w:t>
      </w:r>
      <w:r>
        <w:rPr>
          <w:rFonts w:ascii="宋体" w:hAnsi="宋体" w:cs="宋体"/>
          <w:szCs w:val="21"/>
        </w:rPr>
        <w:t>）进行计算。</w:t>
      </w:r>
    </w:p>
    <w:p w14:paraId="7C5C7684">
      <w:pPr>
        <w:tabs>
          <w:tab w:val="left" w:pos="720"/>
        </w:tabs>
        <w:spacing w:line="320" w:lineRule="exact"/>
        <w:ind w:firstLine="420" w:firstLineChars="200"/>
        <w:rPr>
          <w:rFonts w:ascii="宋体" w:hAnsi="宋体" w:cs="宋体"/>
          <w:szCs w:val="21"/>
        </w:rPr>
      </w:pPr>
    </w:p>
    <w:p w14:paraId="105CBEF8">
      <w:pPr>
        <w:tabs>
          <w:tab w:val="left" w:pos="720"/>
        </w:tabs>
        <w:spacing w:line="320" w:lineRule="exact"/>
        <w:ind w:firstLine="600" w:firstLineChars="200"/>
        <w:rPr>
          <w:rFonts w:ascii="宋体" w:hAnsi="宋体" w:cs="宋体"/>
          <w:szCs w:val="21"/>
        </w:rPr>
      </w:pPr>
      <w:r>
        <w:rPr>
          <w:rFonts w:hint="eastAsia" w:ascii="宋体" w:hAnsi="宋体" w:cs="宋体"/>
          <w:i/>
          <w:iCs/>
          <w:sz w:val="30"/>
          <w:szCs w:val="30"/>
        </w:rPr>
        <w:t>Ar = k</w:t>
      </w:r>
      <w:r>
        <w:rPr>
          <w:rFonts w:ascii="Arial" w:hAnsi="Arial" w:cs="Arial"/>
          <w:i/>
          <w:iCs/>
          <w:szCs w:val="21"/>
        </w:rPr>
        <w:t>×</w:t>
      </w:r>
      <w:r>
        <w:rPr>
          <w:rFonts w:ascii="Arial Unicode MS" w:hAnsi="Arial Unicode MS" w:eastAsia="Arial Unicode MS" w:cs="Arial Unicode MS"/>
          <w:i/>
          <w:iCs/>
          <w:sz w:val="23"/>
          <w:szCs w:val="23"/>
        </w:rPr>
        <w:t>ω</w:t>
      </w:r>
      <w:r>
        <w:rPr>
          <w:rFonts w:ascii="Arial" w:hAnsi="Arial" w:cs="Arial"/>
          <w:i/>
          <w:iCs/>
          <w:szCs w:val="21"/>
        </w:rPr>
        <w:t>×</w:t>
      </w:r>
      <w:r>
        <w:rPr>
          <w:rFonts w:hint="eastAsia" w:ascii="宋体" w:hAnsi="宋体" w:cs="宋体"/>
          <w:szCs w:val="21"/>
        </w:rPr>
        <w:t>10</w:t>
      </w:r>
      <w:r>
        <w:rPr>
          <w:rFonts w:hint="eastAsia" w:ascii="宋体" w:hAnsi="宋体" w:cs="宋体"/>
          <w:szCs w:val="21"/>
          <w:vertAlign w:val="superscript"/>
        </w:rPr>
        <w:t>-3</w:t>
      </w:r>
      <w:r>
        <w:rPr>
          <w:rFonts w:hint="eastAsia" w:ascii="宋体" w:hAnsi="宋体" w:cs="宋体"/>
          <w:szCs w:val="21"/>
          <w:vertAlign w:val="superscript"/>
          <w:lang w:val="en-US" w:eastAsia="zh-CN"/>
        </w:rPr>
        <w:t xml:space="preserve">                                                                                </w:t>
      </w:r>
      <w:r>
        <w:rPr>
          <w:rFonts w:hint="eastAsia" w:ascii="宋体" w:hAnsi="宋体" w:cs="宋体"/>
          <w:szCs w:val="21"/>
        </w:rPr>
        <w:t>(2)</w:t>
      </w:r>
    </w:p>
    <w:p w14:paraId="1F35B6D1">
      <w:pPr>
        <w:spacing w:line="311" w:lineRule="exact"/>
        <w:jc w:val="left"/>
        <w:rPr>
          <w:rFonts w:ascii="宋体" w:hAnsi="宋体" w:cs="宋体"/>
          <w:szCs w:val="21"/>
        </w:rPr>
      </w:pPr>
    </w:p>
    <w:p w14:paraId="23000479">
      <w:pPr>
        <w:spacing w:line="311" w:lineRule="exact"/>
        <w:jc w:val="left"/>
        <w:rPr>
          <w:szCs w:val="21"/>
        </w:rPr>
      </w:pPr>
      <w:r>
        <w:rPr>
          <w:rFonts w:ascii="宋体" w:hAnsi="宋体" w:cs="宋体"/>
          <w:szCs w:val="21"/>
        </w:rPr>
        <w:t>式中：</w:t>
      </w:r>
      <w:r>
        <w:rPr>
          <w:rFonts w:hint="eastAsia" w:ascii="宋体" w:hAnsi="宋体" w:cs="宋体"/>
          <w:i/>
          <w:iCs/>
          <w:sz w:val="30"/>
          <w:szCs w:val="30"/>
        </w:rPr>
        <w:t>Ar</w:t>
      </w:r>
      <w:r>
        <w:rPr>
          <w:rFonts w:eastAsia="Times New Roman"/>
          <w:sz w:val="20"/>
          <w:szCs w:val="20"/>
        </w:rPr>
        <w:t>—</w:t>
      </w:r>
      <w:r>
        <w:rPr>
          <w:rFonts w:ascii="宋体" w:hAnsi="宋体" w:cs="宋体"/>
          <w:sz w:val="20"/>
          <w:szCs w:val="20"/>
        </w:rPr>
        <w:t>固体废物中</w:t>
      </w:r>
      <w:r>
        <w:rPr>
          <w:rFonts w:hint="eastAsia" w:ascii="宋体" w:hAnsi="宋体" w:cs="宋体"/>
          <w:szCs w:val="21"/>
        </w:rPr>
        <w:t>铀-238比活度,Bq</w:t>
      </w:r>
      <w:r>
        <w:rPr>
          <w:rFonts w:eastAsia="Times New Roman"/>
          <w:szCs w:val="21"/>
        </w:rPr>
        <w:t>/kg</w:t>
      </w:r>
      <w:r>
        <w:rPr>
          <w:rFonts w:hint="eastAsia"/>
          <w:szCs w:val="21"/>
        </w:rPr>
        <w:t>；</w:t>
      </w:r>
    </w:p>
    <w:p w14:paraId="7C77544F">
      <w:pPr>
        <w:spacing w:line="311" w:lineRule="exact"/>
        <w:ind w:firstLine="600" w:firstLineChars="200"/>
        <w:jc w:val="left"/>
        <w:rPr>
          <w:rFonts w:ascii="宋体" w:hAnsi="宋体" w:cs="宋体"/>
          <w:szCs w:val="21"/>
        </w:rPr>
      </w:pPr>
      <w:r>
        <w:rPr>
          <w:rFonts w:hint="eastAsia" w:ascii="宋体" w:hAnsi="宋体" w:cs="宋体"/>
          <w:i/>
          <w:iCs/>
          <w:sz w:val="30"/>
          <w:szCs w:val="30"/>
        </w:rPr>
        <w:t>k</w:t>
      </w:r>
      <w:r>
        <w:rPr>
          <w:rFonts w:eastAsia="Times New Roman"/>
          <w:sz w:val="20"/>
          <w:szCs w:val="20"/>
        </w:rPr>
        <w:t>—</w:t>
      </w:r>
      <w:r>
        <w:rPr>
          <w:rFonts w:hint="eastAsia"/>
          <w:sz w:val="20"/>
          <w:szCs w:val="20"/>
        </w:rPr>
        <w:t>常数</w:t>
      </w:r>
      <w:r>
        <w:rPr>
          <w:rFonts w:hint="eastAsia" w:ascii="宋体" w:hAnsi="宋体" w:cs="宋体"/>
          <w:szCs w:val="21"/>
        </w:rPr>
        <w:t xml:space="preserve">为12.24 </w:t>
      </w:r>
      <w:r>
        <w:rPr>
          <w:rFonts w:ascii="Arial" w:hAnsi="Arial" w:cs="Arial"/>
          <w:szCs w:val="21"/>
        </w:rPr>
        <w:t>×</w:t>
      </w:r>
      <w:r>
        <w:rPr>
          <w:rFonts w:hint="eastAsia" w:ascii="宋体" w:hAnsi="宋体" w:cs="宋体"/>
          <w:szCs w:val="21"/>
        </w:rPr>
        <w:t>10</w:t>
      </w:r>
      <w:r>
        <w:rPr>
          <w:rFonts w:hint="eastAsia" w:ascii="宋体" w:hAnsi="宋体" w:cs="宋体"/>
          <w:szCs w:val="21"/>
          <w:vertAlign w:val="superscript"/>
        </w:rPr>
        <w:t>3</w:t>
      </w:r>
      <w:r>
        <w:rPr>
          <w:rFonts w:hint="eastAsia" w:ascii="宋体" w:hAnsi="宋体" w:cs="宋体"/>
          <w:szCs w:val="21"/>
        </w:rPr>
        <w:t>。</w:t>
      </w:r>
    </w:p>
    <w:p w14:paraId="10415B09">
      <w:pPr>
        <w:tabs>
          <w:tab w:val="left" w:pos="720"/>
        </w:tabs>
        <w:spacing w:line="320" w:lineRule="exact"/>
        <w:rPr>
          <w:rFonts w:ascii="宋体" w:hAnsi="宋体" w:cs="宋体"/>
          <w:szCs w:val="21"/>
        </w:rPr>
      </w:pPr>
      <w:r>
        <w:rPr>
          <w:rFonts w:hint="eastAsia" w:ascii="宋体" w:hAnsi="宋体" w:cs="宋体"/>
          <w:b/>
          <w:bCs/>
          <w:kern w:val="0"/>
          <w:szCs w:val="21"/>
          <w:lang w:val="en-US" w:eastAsia="zh-CN"/>
        </w:rPr>
        <w:t>10</w:t>
      </w:r>
      <w:r>
        <w:rPr>
          <w:rFonts w:hint="eastAsia" w:ascii="宋体" w:hAnsi="宋体" w:cs="宋体"/>
          <w:b/>
          <w:bCs/>
          <w:kern w:val="0"/>
          <w:szCs w:val="21"/>
        </w:rPr>
        <w:t>.1.1.3</w:t>
      </w:r>
      <w:r>
        <w:rPr>
          <w:rFonts w:ascii="宋体" w:hAnsi="宋体" w:cs="宋体"/>
          <w:szCs w:val="21"/>
        </w:rPr>
        <w:t>固体废物中</w:t>
      </w:r>
      <w:r>
        <w:rPr>
          <w:rFonts w:hint="eastAsia" w:ascii="宋体" w:hAnsi="宋体" w:cs="宋体"/>
          <w:szCs w:val="21"/>
        </w:rPr>
        <w:t>钍-232比活度</w:t>
      </w:r>
      <w:r>
        <w:rPr>
          <w:rFonts w:hint="eastAsia" w:ascii="宋体" w:hAnsi="宋体" w:cs="宋体"/>
          <w:i/>
          <w:iCs/>
          <w:sz w:val="30"/>
          <w:szCs w:val="30"/>
        </w:rPr>
        <w:t>Ar</w:t>
      </w:r>
      <w:r>
        <w:rPr>
          <w:rFonts w:ascii="宋体" w:hAnsi="宋体" w:cs="宋体"/>
          <w:szCs w:val="21"/>
        </w:rPr>
        <w:t>（</w:t>
      </w:r>
      <w:r>
        <w:rPr>
          <w:rFonts w:hint="eastAsia" w:ascii="宋体" w:hAnsi="宋体" w:cs="宋体"/>
          <w:szCs w:val="21"/>
        </w:rPr>
        <w:t>Bq</w:t>
      </w:r>
      <w:r>
        <w:rPr>
          <w:rFonts w:eastAsia="Times New Roman"/>
          <w:szCs w:val="21"/>
        </w:rPr>
        <w:t>/kg</w:t>
      </w:r>
      <w:r>
        <w:rPr>
          <w:rFonts w:ascii="宋体" w:hAnsi="宋体" w:cs="宋体"/>
          <w:szCs w:val="21"/>
        </w:rPr>
        <w:t>）按照公式（</w:t>
      </w:r>
      <w:r>
        <w:rPr>
          <w:rFonts w:hint="eastAsia" w:ascii="宋体" w:hAnsi="宋体" w:cs="宋体"/>
          <w:szCs w:val="21"/>
        </w:rPr>
        <w:t>3</w:t>
      </w:r>
      <w:r>
        <w:rPr>
          <w:rFonts w:ascii="宋体" w:hAnsi="宋体" w:cs="宋体"/>
          <w:szCs w:val="21"/>
        </w:rPr>
        <w:t>）进行计算。</w:t>
      </w:r>
    </w:p>
    <w:p w14:paraId="19259914">
      <w:pPr>
        <w:tabs>
          <w:tab w:val="left" w:pos="720"/>
        </w:tabs>
        <w:spacing w:line="320" w:lineRule="exact"/>
        <w:rPr>
          <w:rFonts w:ascii="宋体" w:hAnsi="宋体" w:cs="宋体"/>
          <w:szCs w:val="21"/>
        </w:rPr>
      </w:pPr>
    </w:p>
    <w:p w14:paraId="4B6B2FC3">
      <w:pPr>
        <w:tabs>
          <w:tab w:val="left" w:pos="720"/>
        </w:tabs>
        <w:spacing w:line="320" w:lineRule="exact"/>
        <w:ind w:firstLine="600" w:firstLineChars="200"/>
        <w:rPr>
          <w:rFonts w:ascii="宋体" w:hAnsi="宋体" w:cs="宋体"/>
          <w:szCs w:val="21"/>
        </w:rPr>
      </w:pPr>
      <w:r>
        <w:rPr>
          <w:rFonts w:hint="eastAsia" w:ascii="宋体" w:hAnsi="宋体" w:cs="宋体"/>
          <w:i/>
          <w:iCs/>
          <w:sz w:val="30"/>
          <w:szCs w:val="30"/>
        </w:rPr>
        <w:t>Ar = k</w:t>
      </w:r>
      <w:r>
        <w:rPr>
          <w:rFonts w:ascii="Arial" w:hAnsi="Arial" w:cs="Arial"/>
          <w:i/>
          <w:iCs/>
          <w:szCs w:val="21"/>
        </w:rPr>
        <w:t>×</w:t>
      </w:r>
      <w:r>
        <w:rPr>
          <w:rFonts w:ascii="Arial Unicode MS" w:hAnsi="Arial Unicode MS" w:eastAsia="Arial Unicode MS" w:cs="Arial Unicode MS"/>
          <w:i/>
          <w:iCs/>
          <w:sz w:val="23"/>
          <w:szCs w:val="23"/>
        </w:rPr>
        <w:t>ω</w:t>
      </w:r>
      <w:r>
        <w:rPr>
          <w:rFonts w:ascii="Arial" w:hAnsi="Arial" w:cs="Arial"/>
          <w:i/>
          <w:iCs/>
          <w:szCs w:val="21"/>
        </w:rPr>
        <w:t>×</w:t>
      </w:r>
      <w:r>
        <w:rPr>
          <w:rFonts w:hint="eastAsia" w:ascii="宋体" w:hAnsi="宋体" w:cs="宋体"/>
          <w:szCs w:val="21"/>
        </w:rPr>
        <w:t>10</w:t>
      </w:r>
      <w:r>
        <w:rPr>
          <w:rFonts w:hint="eastAsia" w:ascii="宋体" w:hAnsi="宋体" w:cs="宋体"/>
          <w:szCs w:val="21"/>
          <w:vertAlign w:val="superscript"/>
        </w:rPr>
        <w:t>-3</w:t>
      </w:r>
      <w:r>
        <w:rPr>
          <w:rFonts w:hint="eastAsia" w:ascii="宋体" w:hAnsi="宋体" w:cs="宋体"/>
          <w:szCs w:val="21"/>
          <w:vertAlign w:val="superscript"/>
          <w:lang w:val="en-US" w:eastAsia="zh-CN"/>
        </w:rPr>
        <w:t xml:space="preserve">                                                                               </w:t>
      </w:r>
      <w:r>
        <w:rPr>
          <w:rFonts w:hint="eastAsia" w:ascii="宋体" w:hAnsi="宋体" w:cs="宋体"/>
          <w:szCs w:val="21"/>
        </w:rPr>
        <w:t>(3)</w:t>
      </w:r>
    </w:p>
    <w:p w14:paraId="18067233">
      <w:pPr>
        <w:spacing w:line="311" w:lineRule="exact"/>
        <w:jc w:val="left"/>
        <w:rPr>
          <w:rFonts w:ascii="宋体" w:hAnsi="宋体" w:cs="宋体"/>
          <w:szCs w:val="21"/>
        </w:rPr>
      </w:pPr>
    </w:p>
    <w:p w14:paraId="4565FC14">
      <w:pPr>
        <w:spacing w:line="311" w:lineRule="exact"/>
        <w:jc w:val="left"/>
        <w:rPr>
          <w:szCs w:val="21"/>
        </w:rPr>
      </w:pPr>
      <w:r>
        <w:rPr>
          <w:rFonts w:ascii="宋体" w:hAnsi="宋体" w:cs="宋体"/>
          <w:szCs w:val="21"/>
        </w:rPr>
        <w:t>式中：</w:t>
      </w:r>
      <w:r>
        <w:rPr>
          <w:rFonts w:hint="eastAsia" w:ascii="宋体" w:hAnsi="宋体" w:cs="宋体"/>
          <w:i/>
          <w:iCs/>
          <w:sz w:val="30"/>
          <w:szCs w:val="30"/>
        </w:rPr>
        <w:t>Ar</w:t>
      </w:r>
      <w:r>
        <w:rPr>
          <w:rFonts w:eastAsia="Times New Roman"/>
          <w:sz w:val="20"/>
          <w:szCs w:val="20"/>
        </w:rPr>
        <w:t>—</w:t>
      </w:r>
      <w:r>
        <w:rPr>
          <w:rFonts w:ascii="宋体" w:hAnsi="宋体" w:cs="宋体"/>
          <w:sz w:val="20"/>
          <w:szCs w:val="20"/>
        </w:rPr>
        <w:t>固体废物中</w:t>
      </w:r>
      <w:r>
        <w:rPr>
          <w:rFonts w:hint="eastAsia" w:ascii="宋体" w:hAnsi="宋体" w:cs="宋体"/>
          <w:szCs w:val="21"/>
        </w:rPr>
        <w:t>钍-232比活度,Bq</w:t>
      </w:r>
      <w:r>
        <w:rPr>
          <w:rFonts w:eastAsia="Times New Roman"/>
          <w:szCs w:val="21"/>
        </w:rPr>
        <w:t>/kg</w:t>
      </w:r>
      <w:r>
        <w:rPr>
          <w:rFonts w:hint="eastAsia"/>
          <w:szCs w:val="21"/>
        </w:rPr>
        <w:t>；</w:t>
      </w:r>
    </w:p>
    <w:p w14:paraId="4D904051">
      <w:pPr>
        <w:ind w:firstLine="600" w:firstLineChars="200"/>
        <w:jc w:val="left"/>
        <w:rPr>
          <w:rFonts w:ascii="宋体" w:hAnsi="宋体" w:cs="宋体"/>
          <w:szCs w:val="21"/>
        </w:rPr>
      </w:pPr>
      <w:r>
        <w:rPr>
          <w:rFonts w:hint="eastAsia" w:ascii="宋体" w:hAnsi="宋体" w:cs="宋体"/>
          <w:i/>
          <w:iCs/>
          <w:sz w:val="30"/>
          <w:szCs w:val="30"/>
        </w:rPr>
        <w:t>k</w:t>
      </w:r>
      <w:r>
        <w:rPr>
          <w:rFonts w:eastAsia="Times New Roman"/>
          <w:sz w:val="20"/>
          <w:szCs w:val="20"/>
        </w:rPr>
        <w:t>—</w:t>
      </w:r>
      <w:r>
        <w:rPr>
          <w:rFonts w:hint="eastAsia"/>
          <w:sz w:val="20"/>
          <w:szCs w:val="20"/>
        </w:rPr>
        <w:t>常数</w:t>
      </w:r>
      <w:r>
        <w:rPr>
          <w:rFonts w:hint="eastAsia" w:ascii="宋体" w:hAnsi="宋体" w:cs="宋体"/>
          <w:szCs w:val="21"/>
        </w:rPr>
        <w:t>为4.075</w:t>
      </w:r>
      <w:r>
        <w:rPr>
          <w:rFonts w:ascii="Arial" w:hAnsi="Arial" w:cs="Arial"/>
          <w:szCs w:val="21"/>
        </w:rPr>
        <w:t>×</w:t>
      </w:r>
      <w:r>
        <w:rPr>
          <w:rFonts w:hint="eastAsia" w:ascii="宋体" w:hAnsi="宋体" w:cs="宋体"/>
          <w:szCs w:val="21"/>
        </w:rPr>
        <w:t>10</w:t>
      </w:r>
      <w:r>
        <w:rPr>
          <w:rFonts w:hint="eastAsia" w:ascii="宋体" w:hAnsi="宋体" w:cs="宋体"/>
          <w:szCs w:val="21"/>
          <w:vertAlign w:val="superscript"/>
        </w:rPr>
        <w:t>3</w:t>
      </w:r>
      <w:r>
        <w:rPr>
          <w:rFonts w:hint="eastAsia" w:ascii="宋体" w:hAnsi="宋体" w:cs="宋体"/>
          <w:szCs w:val="21"/>
        </w:rPr>
        <w:t>。</w:t>
      </w:r>
    </w:p>
    <w:p w14:paraId="38414605">
      <w:pPr>
        <w:jc w:val="left"/>
        <w:rPr>
          <w:rFonts w:ascii="宋体" w:hAnsi="宋体" w:cs="宋体"/>
          <w:szCs w:val="21"/>
        </w:rPr>
      </w:pPr>
      <w:r>
        <w:rPr>
          <w:rFonts w:hint="eastAsia" w:ascii="宋体" w:hAnsi="宋体" w:cs="宋体"/>
          <w:szCs w:val="21"/>
        </w:rPr>
        <w:t>常数</w:t>
      </w:r>
      <w:r>
        <w:rPr>
          <w:rFonts w:hint="eastAsia" w:ascii="宋体" w:hAnsi="宋体" w:cs="宋体"/>
          <w:i/>
          <w:iCs/>
          <w:sz w:val="24"/>
        </w:rPr>
        <w:t>k</w:t>
      </w:r>
      <w:r>
        <w:rPr>
          <w:rFonts w:hint="eastAsia" w:ascii="宋体" w:hAnsi="宋体" w:cs="宋体"/>
          <w:szCs w:val="21"/>
        </w:rPr>
        <w:t>按</w:t>
      </w:r>
      <w:r>
        <w:rPr>
          <w:rFonts w:ascii="宋体" w:hAnsi="宋体" w:cs="宋体"/>
          <w:szCs w:val="21"/>
        </w:rPr>
        <w:t>公式（</w:t>
      </w:r>
      <w:r>
        <w:rPr>
          <w:rFonts w:hint="eastAsia" w:ascii="宋体" w:hAnsi="宋体" w:cs="宋体"/>
          <w:szCs w:val="21"/>
        </w:rPr>
        <w:t>4</w:t>
      </w:r>
      <w:r>
        <w:rPr>
          <w:rFonts w:ascii="宋体" w:hAnsi="宋体" w:cs="宋体"/>
          <w:szCs w:val="21"/>
        </w:rPr>
        <w:t>）</w:t>
      </w:r>
      <w:r>
        <w:rPr>
          <w:rFonts w:hint="eastAsia" w:ascii="宋体" w:hAnsi="宋体" w:cs="宋体"/>
          <w:szCs w:val="21"/>
        </w:rPr>
        <w:t>求出。</w:t>
      </w:r>
    </w:p>
    <w:p w14:paraId="5C350CCF">
      <w:pPr>
        <w:jc w:val="left"/>
        <w:rPr>
          <w:rFonts w:ascii="宋体" w:hAnsi="宋体" w:cs="宋体"/>
          <w:szCs w:val="21"/>
        </w:rPr>
      </w:pPr>
      <w:r>
        <w:rPr>
          <w:rFonts w:hint="eastAsia" w:ascii="宋体" w:hAnsi="宋体" w:cs="宋体"/>
          <w:i/>
          <w:iCs/>
          <w:sz w:val="32"/>
          <w:szCs w:val="32"/>
        </w:rPr>
        <w:t xml:space="preserve">K= </w:t>
      </w:r>
      <m:oMath>
        <m:f>
          <m:fPr>
            <m:ctrlPr>
              <w:rPr>
                <w:rFonts w:ascii="Cambria Math" w:hAnsi="Cambria Math" w:cs="宋体"/>
                <w:i/>
                <w:iCs/>
                <w:sz w:val="36"/>
                <w:szCs w:val="36"/>
              </w:rPr>
            </m:ctrlPr>
          </m:fPr>
          <m:num>
            <m:r>
              <m:rPr/>
              <w:rPr>
                <w:rFonts w:ascii="Cambria Math" w:hAnsi="Cambria Math" w:cs="宋体"/>
                <w:sz w:val="36"/>
                <w:szCs w:val="36"/>
              </w:rPr>
              <m:t>ln2</m:t>
            </m:r>
            <m:r>
              <m:rPr/>
              <w:rPr>
                <w:rFonts w:ascii="Cambria Math" w:hAnsi="Cambria Math" w:cs="Arial"/>
                <w:sz w:val="36"/>
                <w:szCs w:val="36"/>
              </w:rPr>
              <m:t>×</m:t>
            </m:r>
            <m:sSub>
              <m:sSubPr>
                <m:ctrlPr>
                  <w:rPr>
                    <w:rFonts w:ascii="Cambria Math" w:hAnsi="Cambria Math" w:cs="宋体"/>
                    <w:i/>
                    <w:iCs/>
                    <w:sz w:val="36"/>
                    <w:szCs w:val="36"/>
                  </w:rPr>
                </m:ctrlPr>
              </m:sSubPr>
              <m:e>
                <m:r>
                  <m:rPr/>
                  <w:rPr>
                    <w:rFonts w:ascii="Cambria Math" w:hAnsi="Cambria Math" w:cs="宋体"/>
                    <w:sz w:val="36"/>
                    <w:szCs w:val="36"/>
                  </w:rPr>
                  <m:t>N</m:t>
                </m:r>
                <m:ctrlPr>
                  <w:rPr>
                    <w:rFonts w:ascii="Cambria Math" w:hAnsi="Cambria Math" w:cs="宋体"/>
                    <w:i/>
                    <w:iCs/>
                    <w:sz w:val="36"/>
                    <w:szCs w:val="36"/>
                  </w:rPr>
                </m:ctrlPr>
              </m:e>
              <m:sub>
                <m:r>
                  <m:rPr/>
                  <w:rPr>
                    <w:rFonts w:ascii="Cambria Math" w:hAnsi="Cambria Math" w:cs="宋体"/>
                    <w:sz w:val="36"/>
                    <w:szCs w:val="36"/>
                  </w:rPr>
                  <m:t>A</m:t>
                </m:r>
                <m:ctrlPr>
                  <w:rPr>
                    <w:rFonts w:ascii="Cambria Math" w:hAnsi="Cambria Math" w:cs="宋体"/>
                    <w:i/>
                    <w:iCs/>
                    <w:sz w:val="36"/>
                    <w:szCs w:val="36"/>
                  </w:rPr>
                </m:ctrlPr>
              </m:sub>
            </m:sSub>
            <m:r>
              <m:rPr/>
              <w:rPr>
                <w:rFonts w:ascii="Cambria Math" w:hAnsi="Cambria Math" w:cs="Arial"/>
                <w:sz w:val="36"/>
                <w:szCs w:val="36"/>
              </w:rPr>
              <m:t>×</m:t>
            </m:r>
            <m:r>
              <m:rPr/>
              <w:rPr>
                <w:rFonts w:ascii="Cambria Math" w:hAnsi="Cambria Math" w:cs="宋体"/>
                <w:sz w:val="36"/>
                <w:szCs w:val="36"/>
              </w:rPr>
              <m:t>f</m:t>
            </m:r>
            <m:ctrlPr>
              <w:rPr>
                <w:rFonts w:ascii="Cambria Math" w:hAnsi="Cambria Math" w:cs="宋体"/>
                <w:i/>
                <w:iCs/>
                <w:sz w:val="36"/>
                <w:szCs w:val="36"/>
              </w:rPr>
            </m:ctrlPr>
          </m:num>
          <m:den>
            <m:r>
              <m:rPr/>
              <w:rPr>
                <w:rFonts w:ascii="Cambria Math" w:hAnsi="Cambria Math" w:cs="宋体"/>
                <w:sz w:val="36"/>
                <w:szCs w:val="36"/>
              </w:rPr>
              <m:t>M</m:t>
            </m:r>
            <m:r>
              <m:rPr/>
              <w:rPr>
                <w:rFonts w:ascii="Cambria Math" w:hAnsi="Cambria Math" w:cs="Arial"/>
                <w:sz w:val="36"/>
                <w:szCs w:val="36"/>
              </w:rPr>
              <m:t>×</m:t>
            </m:r>
            <m:sSub>
              <m:sSubPr>
                <m:ctrlPr>
                  <w:rPr>
                    <w:rFonts w:ascii="Cambria Math" w:hAnsi="Cambria Math" w:cs="宋体"/>
                    <w:i/>
                    <w:iCs/>
                    <w:sz w:val="36"/>
                    <w:szCs w:val="36"/>
                  </w:rPr>
                </m:ctrlPr>
              </m:sSubPr>
              <m:e>
                <m:r>
                  <m:rPr/>
                  <w:rPr>
                    <w:rFonts w:ascii="Cambria Math" w:hAnsi="Cambria Math" w:cs="宋体"/>
                    <w:sz w:val="36"/>
                    <w:szCs w:val="36"/>
                  </w:rPr>
                  <m:t>T</m:t>
                </m:r>
                <m:ctrlPr>
                  <w:rPr>
                    <w:rFonts w:ascii="Cambria Math" w:hAnsi="Cambria Math" w:cs="宋体"/>
                    <w:i/>
                    <w:iCs/>
                    <w:sz w:val="36"/>
                    <w:szCs w:val="36"/>
                  </w:rPr>
                </m:ctrlPr>
              </m:e>
              <m:sub>
                <m:r>
                  <m:rPr/>
                  <w:rPr>
                    <w:rFonts w:ascii="Cambria Math" w:hAnsi="Cambria Math" w:cs="宋体"/>
                    <w:sz w:val="36"/>
                    <w:szCs w:val="36"/>
                  </w:rPr>
                  <m:t>1/2</m:t>
                </m:r>
                <m:ctrlPr>
                  <w:rPr>
                    <w:rFonts w:ascii="Cambria Math" w:hAnsi="Cambria Math" w:cs="宋体"/>
                    <w:i/>
                    <w:iCs/>
                    <w:sz w:val="36"/>
                    <w:szCs w:val="36"/>
                  </w:rPr>
                </m:ctrlPr>
              </m:sub>
            </m:sSub>
            <m:r>
              <m:rPr/>
              <w:rPr>
                <w:rFonts w:ascii="Cambria Math" w:hAnsi="Cambria Math" w:cs="Arial"/>
                <w:sz w:val="36"/>
                <w:szCs w:val="36"/>
              </w:rPr>
              <m:t>×</m:t>
            </m:r>
            <m:r>
              <m:rPr/>
              <w:rPr>
                <w:rFonts w:ascii="Cambria Math" w:hAnsi="Cambria Math" w:cs="Cambria Math"/>
                <w:sz w:val="36"/>
                <w:szCs w:val="36"/>
              </w:rPr>
              <m:t>ƞ</m:t>
            </m:r>
            <m:ctrlPr>
              <w:rPr>
                <w:rFonts w:ascii="Cambria Math" w:hAnsi="Cambria Math" w:cs="宋体"/>
                <w:i/>
                <w:iCs/>
                <w:sz w:val="36"/>
                <w:szCs w:val="36"/>
              </w:rPr>
            </m:ctrlPr>
          </m:den>
        </m:f>
      </m:oMath>
      <w:r>
        <w:rPr>
          <w:rFonts w:hint="eastAsia" w:hAnsi="Cambria Math" w:cs="宋体"/>
          <w:i/>
          <w:iCs/>
          <w:sz w:val="36"/>
          <w:szCs w:val="36"/>
          <w:lang w:val="en-US" w:eastAsia="zh-CN"/>
        </w:rPr>
        <w:t xml:space="preserve">                          </w:t>
      </w:r>
      <w:r>
        <w:rPr>
          <w:rFonts w:hint="eastAsia" w:ascii="宋体" w:hAnsi="宋体" w:cs="宋体"/>
          <w:szCs w:val="21"/>
        </w:rPr>
        <w:t>(4)</w:t>
      </w:r>
    </w:p>
    <w:p w14:paraId="14A8CF12">
      <w:pPr>
        <w:jc w:val="left"/>
        <w:rPr>
          <w:rFonts w:ascii="宋体" w:hAnsi="宋体" w:cs="宋体"/>
          <w:szCs w:val="21"/>
        </w:rPr>
      </w:pPr>
    </w:p>
    <w:p w14:paraId="52F43487">
      <w:pPr>
        <w:spacing w:line="240" w:lineRule="exact"/>
        <w:jc w:val="left"/>
        <w:rPr>
          <w:sz w:val="20"/>
          <w:szCs w:val="20"/>
        </w:rPr>
      </w:pPr>
      <w:r>
        <w:rPr>
          <w:rFonts w:ascii="宋体" w:hAnsi="宋体" w:cs="宋体"/>
          <w:szCs w:val="21"/>
        </w:rPr>
        <w:t>式中：</w:t>
      </w:r>
      <m:oMath>
        <m:sSub>
          <m:sSubPr>
            <m:ctrlPr>
              <w:rPr>
                <w:rFonts w:ascii="Cambria Math" w:hAnsi="Cambria Math" w:cs="宋体"/>
                <w:i/>
                <w:iCs/>
                <w:sz w:val="21"/>
                <w:szCs w:val="21"/>
              </w:rPr>
            </m:ctrlPr>
          </m:sSubPr>
          <m:e>
            <m:r>
              <m:rPr/>
              <w:rPr>
                <w:rFonts w:ascii="Cambria Math" w:hAnsi="Cambria Math" w:cs="宋体"/>
                <w:sz w:val="21"/>
                <w:szCs w:val="21"/>
              </w:rPr>
              <m:t>N</m:t>
            </m:r>
            <m:ctrlPr>
              <w:rPr>
                <w:rFonts w:ascii="Cambria Math" w:hAnsi="Cambria Math" w:cs="宋体"/>
                <w:i/>
                <w:iCs/>
                <w:sz w:val="21"/>
                <w:szCs w:val="21"/>
              </w:rPr>
            </m:ctrlPr>
          </m:e>
          <m:sub>
            <m:r>
              <m:rPr/>
              <w:rPr>
                <w:rFonts w:ascii="Cambria Math" w:hAnsi="Cambria Math" w:cs="宋体"/>
                <w:sz w:val="21"/>
                <w:szCs w:val="21"/>
              </w:rPr>
              <m:t>A</m:t>
            </m:r>
            <m:ctrlPr>
              <w:rPr>
                <w:rFonts w:ascii="Cambria Math" w:hAnsi="Cambria Math" w:cs="宋体"/>
                <w:i/>
                <w:iCs/>
                <w:sz w:val="21"/>
                <w:szCs w:val="21"/>
              </w:rPr>
            </m:ctrlPr>
          </m:sub>
        </m:sSub>
      </m:oMath>
      <w:r>
        <w:rPr>
          <w:rFonts w:eastAsia="Times New Roman"/>
          <w:sz w:val="20"/>
          <w:szCs w:val="20"/>
        </w:rPr>
        <w:t>—</w:t>
      </w:r>
      <w:r>
        <w:rPr>
          <w:rFonts w:hint="eastAsia" w:ascii="宋体" w:hAnsi="宋体" w:cs="宋体"/>
          <w:sz w:val="20"/>
          <w:szCs w:val="20"/>
        </w:rPr>
        <w:t>阿伏伽德罗常数</w:t>
      </w:r>
      <w:r>
        <w:rPr>
          <w:rFonts w:ascii="宋体" w:hAnsi="宋体" w:cs="宋体"/>
          <w:sz w:val="20"/>
          <w:szCs w:val="20"/>
        </w:rPr>
        <w:t>；</w:t>
      </w:r>
    </w:p>
    <w:p w14:paraId="5F7F3745">
      <w:pPr>
        <w:spacing w:line="1" w:lineRule="exact"/>
        <w:rPr>
          <w:sz w:val="20"/>
          <w:szCs w:val="20"/>
        </w:rPr>
      </w:pPr>
    </w:p>
    <w:p w14:paraId="7DC840FE">
      <w:pPr>
        <w:spacing w:line="350" w:lineRule="exact"/>
        <w:ind w:right="1964" w:firstLine="630" w:firstLineChars="300"/>
        <w:rPr>
          <w:rFonts w:ascii="宋体" w:hAnsi="宋体" w:cs="宋体"/>
          <w:szCs w:val="21"/>
        </w:rPr>
      </w:pPr>
      <m:oMath>
        <m:r>
          <m:rPr/>
          <w:rPr>
            <w:rFonts w:ascii="Cambria Math" w:hAnsi="Cambria Math" w:cs="宋体"/>
            <w:sz w:val="21"/>
            <w:szCs w:val="21"/>
          </w:rPr>
          <m:t>f</m:t>
        </m:r>
      </m:oMath>
      <w:r>
        <w:rPr>
          <w:rFonts w:eastAsia="Times New Roman"/>
          <w:szCs w:val="21"/>
        </w:rPr>
        <w:t>—</w:t>
      </w:r>
      <w:r>
        <w:rPr>
          <w:rFonts w:hint="eastAsia"/>
          <w:szCs w:val="21"/>
          <w:vertAlign w:val="superscript"/>
        </w:rPr>
        <w:t>238</w:t>
      </w:r>
      <w:r>
        <w:rPr>
          <w:rFonts w:hint="eastAsia"/>
          <w:szCs w:val="21"/>
        </w:rPr>
        <w:t>U</w:t>
      </w:r>
      <w:r>
        <w:rPr>
          <w:rFonts w:hint="eastAsia"/>
          <w:szCs w:val="21"/>
          <w:lang w:eastAsia="zh-CN"/>
        </w:rPr>
        <w:t>或</w:t>
      </w:r>
      <w:r>
        <w:rPr>
          <w:rFonts w:hint="eastAsia"/>
          <w:szCs w:val="21"/>
          <w:vertAlign w:val="superscript"/>
        </w:rPr>
        <w:t>232</w:t>
      </w:r>
      <w:r>
        <w:rPr>
          <w:rFonts w:hint="eastAsia"/>
          <w:szCs w:val="21"/>
        </w:rPr>
        <w:t>Th在天然铀</w:t>
      </w:r>
      <w:r>
        <w:rPr>
          <w:rFonts w:hint="eastAsia"/>
          <w:szCs w:val="21"/>
          <w:lang w:eastAsia="zh-CN"/>
        </w:rPr>
        <w:t>或</w:t>
      </w:r>
      <w:r>
        <w:rPr>
          <w:rFonts w:hint="eastAsia"/>
          <w:szCs w:val="21"/>
        </w:rPr>
        <w:t>钍中的丰度</w:t>
      </w:r>
      <w:r>
        <w:rPr>
          <w:rFonts w:hint="eastAsia"/>
          <w:szCs w:val="21"/>
          <w:lang w:eastAsia="zh-CN"/>
        </w:rPr>
        <w:t>，分别为</w:t>
      </w:r>
      <w:r>
        <w:rPr>
          <w:rFonts w:hint="eastAsia"/>
          <w:szCs w:val="21"/>
          <w:lang w:val="en-US" w:eastAsia="zh-CN"/>
        </w:rPr>
        <w:t>0.9928、1</w:t>
      </w:r>
      <w:r>
        <w:rPr>
          <w:rFonts w:ascii="宋体" w:hAnsi="宋体" w:cs="宋体"/>
          <w:szCs w:val="21"/>
        </w:rPr>
        <w:t>；</w:t>
      </w:r>
    </w:p>
    <w:p w14:paraId="5B41B8BF">
      <w:pPr>
        <w:spacing w:line="350" w:lineRule="exact"/>
        <w:ind w:right="1964" w:firstLine="630" w:firstLineChars="300"/>
        <w:rPr>
          <w:sz w:val="20"/>
          <w:szCs w:val="20"/>
        </w:rPr>
      </w:pPr>
      <m:oMath>
        <m:r>
          <m:rPr/>
          <w:rPr>
            <w:rFonts w:ascii="Cambria Math" w:hAnsi="Cambria Math" w:cs="宋体"/>
            <w:sz w:val="21"/>
            <w:szCs w:val="21"/>
          </w:rPr>
          <m:t>M</m:t>
        </m:r>
      </m:oMath>
      <w:r>
        <w:rPr>
          <w:rFonts w:eastAsia="Times New Roman"/>
          <w:szCs w:val="21"/>
        </w:rPr>
        <w:t>—</w:t>
      </w:r>
      <w:r>
        <w:rPr>
          <w:rFonts w:hint="eastAsia"/>
          <w:szCs w:val="21"/>
          <w:vertAlign w:val="superscript"/>
        </w:rPr>
        <w:t>238</w:t>
      </w:r>
      <w:r>
        <w:rPr>
          <w:rFonts w:hint="eastAsia"/>
          <w:szCs w:val="21"/>
        </w:rPr>
        <w:t>U</w:t>
      </w:r>
      <w:r>
        <w:rPr>
          <w:rFonts w:hint="eastAsia"/>
          <w:szCs w:val="21"/>
          <w:lang w:eastAsia="zh-CN"/>
        </w:rPr>
        <w:t>或</w:t>
      </w:r>
      <w:r>
        <w:rPr>
          <w:rFonts w:hint="eastAsia"/>
          <w:szCs w:val="21"/>
          <w:vertAlign w:val="superscript"/>
        </w:rPr>
        <w:t>232</w:t>
      </w:r>
      <w:r>
        <w:rPr>
          <w:rFonts w:hint="eastAsia"/>
          <w:szCs w:val="21"/>
        </w:rPr>
        <w:t>Th的原子量；</w:t>
      </w:r>
    </w:p>
    <w:p w14:paraId="62DA6528">
      <w:pPr>
        <w:spacing w:line="47" w:lineRule="exact"/>
        <w:rPr>
          <w:sz w:val="20"/>
          <w:szCs w:val="20"/>
        </w:rPr>
      </w:pPr>
    </w:p>
    <w:p w14:paraId="233128B2">
      <w:pPr>
        <w:tabs>
          <w:tab w:val="left" w:pos="1560"/>
        </w:tabs>
        <w:spacing w:line="276" w:lineRule="exact"/>
        <w:ind w:firstLine="630" w:firstLineChars="300"/>
        <w:jc w:val="left"/>
        <w:rPr>
          <w:rFonts w:eastAsia="Times New Roman"/>
          <w:i/>
          <w:iCs/>
          <w:sz w:val="24"/>
        </w:rPr>
      </w:pPr>
      <m:oMath>
        <m:sSub>
          <m:sSubPr>
            <m:ctrlPr>
              <w:rPr>
                <w:rFonts w:ascii="Cambria Math" w:hAnsi="Cambria Math" w:cs="宋体"/>
                <w:i/>
                <w:iCs/>
                <w:sz w:val="21"/>
                <w:szCs w:val="21"/>
              </w:rPr>
            </m:ctrlPr>
          </m:sSubPr>
          <m:e>
            <m:r>
              <m:rPr/>
              <w:rPr>
                <w:rFonts w:ascii="Cambria Math" w:hAnsi="Cambria Math" w:cs="宋体"/>
                <w:sz w:val="21"/>
                <w:szCs w:val="21"/>
              </w:rPr>
              <m:t>T</m:t>
            </m:r>
            <m:ctrlPr>
              <w:rPr>
                <w:rFonts w:ascii="Cambria Math" w:hAnsi="Cambria Math" w:cs="宋体"/>
                <w:i/>
                <w:iCs/>
                <w:sz w:val="21"/>
                <w:szCs w:val="21"/>
              </w:rPr>
            </m:ctrlPr>
          </m:e>
          <m:sub>
            <m:r>
              <m:rPr/>
              <w:rPr>
                <w:rFonts w:ascii="Cambria Math" w:hAnsi="Cambria Math" w:cs="宋体"/>
                <w:sz w:val="21"/>
                <w:szCs w:val="21"/>
              </w:rPr>
              <m:t>1/2</m:t>
            </m:r>
            <m:ctrlPr>
              <w:rPr>
                <w:rFonts w:ascii="Cambria Math" w:hAnsi="Cambria Math" w:cs="宋体"/>
                <w:i/>
                <w:iCs/>
                <w:sz w:val="21"/>
                <w:szCs w:val="21"/>
              </w:rPr>
            </m:ctrlPr>
          </m:sub>
        </m:sSub>
      </m:oMath>
      <w:r>
        <w:rPr>
          <w:rFonts w:eastAsia="Times New Roman"/>
          <w:szCs w:val="21"/>
        </w:rPr>
        <w:t>—</w:t>
      </w:r>
      <w:r>
        <w:rPr>
          <w:rFonts w:hint="eastAsia"/>
          <w:szCs w:val="21"/>
          <w:vertAlign w:val="superscript"/>
        </w:rPr>
        <w:t>238</w:t>
      </w:r>
      <w:r>
        <w:rPr>
          <w:rFonts w:hint="eastAsia"/>
          <w:szCs w:val="21"/>
        </w:rPr>
        <w:t>U</w:t>
      </w:r>
      <w:r>
        <w:rPr>
          <w:rFonts w:hint="eastAsia"/>
          <w:szCs w:val="21"/>
          <w:lang w:eastAsia="zh-CN"/>
        </w:rPr>
        <w:t>或</w:t>
      </w:r>
      <w:r>
        <w:rPr>
          <w:rFonts w:hint="eastAsia"/>
          <w:szCs w:val="21"/>
          <w:vertAlign w:val="superscript"/>
        </w:rPr>
        <w:t>232</w:t>
      </w:r>
      <w:r>
        <w:rPr>
          <w:rFonts w:hint="eastAsia"/>
          <w:szCs w:val="21"/>
        </w:rPr>
        <w:t>Th的半衰期</w:t>
      </w:r>
      <w:r>
        <w:rPr>
          <w:rFonts w:hint="eastAsia"/>
          <w:szCs w:val="21"/>
          <w:lang w:eastAsia="zh-CN"/>
        </w:rPr>
        <w:t>，</w:t>
      </w:r>
      <w:r>
        <w:rPr>
          <w:rFonts w:hint="eastAsia"/>
          <w:szCs w:val="21"/>
          <w:lang w:val="en-US" w:eastAsia="zh-CN"/>
        </w:rPr>
        <w:t>a，分别为4.51</w:t>
      </w:r>
      <w:r>
        <w:rPr>
          <w:rFonts w:hint="default" w:ascii="Arial" w:hAnsi="Arial" w:cs="Arial"/>
          <w:szCs w:val="21"/>
          <w:lang w:val="en-US" w:eastAsia="zh-CN"/>
        </w:rPr>
        <w:t>×</w:t>
      </w:r>
      <w:r>
        <w:rPr>
          <w:rFonts w:hint="eastAsia"/>
          <w:szCs w:val="21"/>
          <w:lang w:val="en-US" w:eastAsia="zh-CN"/>
        </w:rPr>
        <w:t>10</w:t>
      </w:r>
      <w:r>
        <w:rPr>
          <w:rFonts w:hint="eastAsia"/>
          <w:szCs w:val="21"/>
          <w:vertAlign w:val="superscript"/>
          <w:lang w:val="en-US" w:eastAsia="zh-CN"/>
        </w:rPr>
        <w:t>9</w:t>
      </w:r>
      <w:r>
        <w:rPr>
          <w:rFonts w:hint="eastAsia"/>
          <w:szCs w:val="21"/>
          <w:vertAlign w:val="baseline"/>
          <w:lang w:val="en-US" w:eastAsia="zh-CN"/>
        </w:rPr>
        <w:t>年、1.40</w:t>
      </w:r>
      <w:r>
        <w:rPr>
          <w:rFonts w:hint="default" w:ascii="Arial" w:hAnsi="Arial" w:cs="Arial"/>
          <w:szCs w:val="21"/>
          <w:lang w:val="en-US" w:eastAsia="zh-CN"/>
        </w:rPr>
        <w:t>×</w:t>
      </w:r>
      <w:r>
        <w:rPr>
          <w:rFonts w:hint="eastAsia"/>
          <w:szCs w:val="21"/>
          <w:lang w:val="en-US" w:eastAsia="zh-CN"/>
        </w:rPr>
        <w:t>10</w:t>
      </w:r>
      <w:r>
        <w:rPr>
          <w:rFonts w:hint="eastAsia"/>
          <w:szCs w:val="21"/>
          <w:vertAlign w:val="superscript"/>
          <w:lang w:val="en-US" w:eastAsia="zh-CN"/>
        </w:rPr>
        <w:t>10</w:t>
      </w:r>
      <w:r>
        <w:rPr>
          <w:rFonts w:hint="eastAsia"/>
          <w:szCs w:val="21"/>
          <w:vertAlign w:val="baseline"/>
          <w:lang w:val="en-US" w:eastAsia="zh-CN"/>
        </w:rPr>
        <w:t>年</w:t>
      </w:r>
      <w:r>
        <w:rPr>
          <w:rFonts w:hint="eastAsia"/>
          <w:szCs w:val="21"/>
        </w:rPr>
        <w:t>；</w:t>
      </w:r>
    </w:p>
    <w:p w14:paraId="4B72B416">
      <w:pPr>
        <w:spacing w:line="29" w:lineRule="exact"/>
        <w:rPr>
          <w:sz w:val="20"/>
          <w:szCs w:val="20"/>
        </w:rPr>
      </w:pPr>
    </w:p>
    <w:p w14:paraId="2932B400">
      <w:pPr>
        <w:spacing w:line="311" w:lineRule="exact"/>
        <w:ind w:firstLine="630" w:firstLineChars="300"/>
        <w:rPr>
          <w:rFonts w:ascii="宋体" w:hAnsi="宋体" w:cs="宋体"/>
          <w:szCs w:val="21"/>
        </w:rPr>
      </w:pPr>
      <m:oMath>
        <m:r>
          <m:rPr/>
          <w:rPr>
            <w:rFonts w:ascii="Cambria Math" w:hAnsi="Cambria Math" w:cs="Cambria Math"/>
            <w:sz w:val="21"/>
            <w:szCs w:val="21"/>
          </w:rPr>
          <m:t>ƞ</m:t>
        </m:r>
      </m:oMath>
      <w:r>
        <w:rPr>
          <w:rFonts w:eastAsia="Times New Roman"/>
          <w:szCs w:val="21"/>
        </w:rPr>
        <w:t>—</w:t>
      </w:r>
      <w:r>
        <w:rPr>
          <w:rFonts w:hint="eastAsia" w:ascii="宋体" w:hAnsi="宋体" w:cs="宋体"/>
          <w:szCs w:val="21"/>
        </w:rPr>
        <w:t>年换算成秒的数值。</w:t>
      </w:r>
    </w:p>
    <w:p w14:paraId="7B1F85BF">
      <w:pPr>
        <w:spacing w:line="311" w:lineRule="exact"/>
        <w:ind w:firstLine="630" w:firstLineChars="300"/>
        <w:rPr>
          <w:rFonts w:ascii="宋体" w:hAnsi="宋体" w:cs="宋体"/>
          <w:szCs w:val="21"/>
        </w:rPr>
      </w:pPr>
    </w:p>
    <w:p w14:paraId="5786504C">
      <w:pPr>
        <w:spacing w:line="332" w:lineRule="exact"/>
        <w:ind w:right="181"/>
        <w:jc w:val="left"/>
        <w:rPr>
          <w:rFonts w:ascii="宋体"/>
          <w:kern w:val="0"/>
          <w:szCs w:val="21"/>
        </w:rPr>
      </w:pPr>
      <w:r>
        <w:rPr>
          <w:rFonts w:hint="eastAsia" w:ascii="宋体" w:hAnsi="宋体" w:cs="宋体"/>
          <w:b/>
          <w:bCs/>
          <w:kern w:val="0"/>
          <w:szCs w:val="21"/>
          <w:lang w:val="en-US" w:eastAsia="zh-CN"/>
        </w:rPr>
        <w:t>10</w:t>
      </w:r>
      <w:r>
        <w:rPr>
          <w:rFonts w:hint="eastAsia" w:ascii="宋体" w:hAnsi="宋体" w:cs="宋体"/>
          <w:b/>
          <w:bCs/>
          <w:kern w:val="0"/>
          <w:szCs w:val="21"/>
        </w:rPr>
        <w:t>.1.2</w:t>
      </w:r>
      <w:r>
        <w:rPr>
          <w:rFonts w:hint="eastAsia" w:ascii="宋体"/>
          <w:kern w:val="0"/>
          <w:szCs w:val="21"/>
        </w:rPr>
        <w:t>液态和不可干化的半固态固体废物</w:t>
      </w:r>
    </w:p>
    <w:p w14:paraId="0B22F7FF">
      <w:pPr>
        <w:spacing w:line="332" w:lineRule="exact"/>
        <w:ind w:right="181"/>
        <w:jc w:val="left"/>
        <w:rPr>
          <w:rFonts w:ascii="宋体" w:hAnsi="宋体" w:cs="宋体"/>
          <w:szCs w:val="21"/>
        </w:rPr>
      </w:pPr>
      <w:r>
        <w:rPr>
          <w:rFonts w:hint="eastAsia" w:ascii="宋体" w:hAnsi="宋体" w:cs="宋体"/>
          <w:b/>
          <w:bCs/>
          <w:kern w:val="0"/>
          <w:szCs w:val="21"/>
          <w:lang w:val="en-US" w:eastAsia="zh-CN"/>
        </w:rPr>
        <w:t>10</w:t>
      </w:r>
      <w:r>
        <w:rPr>
          <w:rFonts w:hint="eastAsia" w:ascii="宋体" w:hAnsi="宋体" w:cs="宋体"/>
          <w:b/>
          <w:bCs/>
          <w:kern w:val="0"/>
          <w:szCs w:val="21"/>
        </w:rPr>
        <w:t>.1.2.1</w:t>
      </w:r>
      <w:r>
        <w:rPr>
          <w:rFonts w:hint="eastAsia" w:ascii="宋体"/>
          <w:kern w:val="0"/>
          <w:szCs w:val="21"/>
        </w:rPr>
        <w:t xml:space="preserve">固体废物中待测元素的含量 </w:t>
      </w:r>
      <w:r>
        <w:rPr>
          <w:rFonts w:ascii="Arial Unicode MS" w:hAnsi="Arial Unicode MS" w:eastAsia="Arial Unicode MS" w:cs="Arial Unicode MS"/>
          <w:i/>
          <w:iCs/>
          <w:sz w:val="23"/>
          <w:szCs w:val="23"/>
        </w:rPr>
        <w:t>ω</w:t>
      </w:r>
      <w:r>
        <w:rPr>
          <w:rFonts w:hint="eastAsia" w:ascii="宋体"/>
          <w:kern w:val="0"/>
          <w:szCs w:val="21"/>
        </w:rPr>
        <w:t>（mg/kg）按照公式（5）进</w:t>
      </w:r>
      <w:r>
        <w:rPr>
          <w:rFonts w:ascii="宋体" w:hAnsi="宋体" w:cs="宋体"/>
          <w:szCs w:val="21"/>
        </w:rPr>
        <w:t>行计算。</w:t>
      </w:r>
    </w:p>
    <w:p w14:paraId="7E330CEE">
      <w:pPr>
        <w:jc w:val="left"/>
        <w:rPr>
          <w:rFonts w:ascii="宋体" w:hAnsi="宋体" w:cs="宋体"/>
          <w:szCs w:val="21"/>
        </w:rPr>
      </w:pPr>
    </w:p>
    <w:p w14:paraId="23A1E52D">
      <w:pPr>
        <w:ind w:firstLine="460" w:firstLineChars="200"/>
        <w:jc w:val="left"/>
        <w:rPr>
          <w:rFonts w:ascii="宋体" w:hAnsi="宋体" w:cs="宋体"/>
          <w:szCs w:val="21"/>
        </w:rPr>
      </w:pPr>
      <w:r>
        <w:rPr>
          <w:rFonts w:ascii="Arial Unicode MS" w:hAnsi="Arial Unicode MS" w:eastAsia="Arial Unicode MS" w:cs="Arial Unicode MS"/>
          <w:i/>
          <w:iCs/>
          <w:sz w:val="23"/>
          <w:szCs w:val="23"/>
        </w:rPr>
        <w:t>ω</w:t>
      </w:r>
      <w:r>
        <w:rPr>
          <w:rFonts w:hint="eastAsia" w:ascii="Arial Unicode MS" w:hAnsi="Arial Unicode MS" w:eastAsia="Arial Unicode MS" w:cs="Arial Unicode MS"/>
          <w:sz w:val="30"/>
          <w:szCs w:val="30"/>
        </w:rPr>
        <w:t xml:space="preserve">= </w:t>
      </w:r>
      <m:oMath>
        <m:f>
          <m:fPr>
            <m:ctrlPr>
              <w:rPr>
                <w:rFonts w:ascii="Cambria Math" w:hAnsi="Cambria Math" w:cs="Arial Unicode MS"/>
                <w:i/>
                <w:sz w:val="30"/>
                <w:szCs w:val="30"/>
              </w:rPr>
            </m:ctrlPr>
          </m:fPr>
          <m:num>
            <m:r>
              <m:rPr/>
              <w:rPr>
                <w:rFonts w:ascii="Cambria Math" w:hAnsi="Cambria Math" w:cs="Arial Unicode MS"/>
                <w:sz w:val="30"/>
                <w:szCs w:val="30"/>
              </w:rPr>
              <m:t>（</m:t>
            </m:r>
            <m:r>
              <m:rPr/>
              <w:rPr>
                <w:rFonts w:ascii="Cambria Math" w:hAnsi="Cambria Math" w:cs="Cambria Math"/>
                <w:sz w:val="30"/>
                <w:szCs w:val="30"/>
                <w:vertAlign w:val="subscript"/>
              </w:rPr>
              <m:t>ρ</m:t>
            </m:r>
            <m:r>
              <m:rPr/>
              <w:rPr>
                <w:rFonts w:eastAsia="Times New Roman"/>
                <w:sz w:val="30"/>
                <w:szCs w:val="30"/>
                <w:vertAlign w:val="subscript"/>
              </w:rPr>
              <m:t>x</m:t>
            </m:r>
            <m:r>
              <m:rPr/>
              <w:rPr>
                <w:rFonts w:ascii="Cambria Math" w:hAnsi="Cambria Math"/>
                <w:sz w:val="30"/>
                <w:szCs w:val="30"/>
                <w:vertAlign w:val="subscript"/>
              </w:rPr>
              <m:t>−</m:t>
            </m:r>
            <m:r>
              <m:rPr/>
              <w:rPr>
                <w:rFonts w:ascii="Cambria Math" w:hAnsi="Cambria Math" w:cs="Cambria Math"/>
                <w:sz w:val="30"/>
                <w:szCs w:val="30"/>
                <w:vertAlign w:val="subscript"/>
              </w:rPr>
              <m:t>ρo</m:t>
            </m:r>
            <m:r>
              <m:rPr>
                <m:sty m:val="p"/>
              </m:rPr>
              <w:rPr>
                <w:rFonts w:ascii="Cambria Math" w:hAnsi="Cambria Math"/>
                <w:sz w:val="30"/>
                <w:szCs w:val="30"/>
              </w:rPr>
              <m:t>）</m:t>
            </m:r>
            <m:r>
              <m:rPr>
                <m:sty m:val="p"/>
              </m:rPr>
              <w:rPr>
                <w:rFonts w:ascii="Cambria Math" w:hAnsi="Cambria Math" w:cs="Arial"/>
                <w:sz w:val="30"/>
                <w:szCs w:val="30"/>
              </w:rPr>
              <m:t>×</m:t>
            </m:r>
            <m:r>
              <m:rPr>
                <m:sty m:val="p"/>
              </m:rPr>
              <w:rPr>
                <w:rFonts w:ascii="Cambria Math" w:hAnsi="Cambria Math"/>
                <w:sz w:val="30"/>
                <w:szCs w:val="30"/>
              </w:rPr>
              <m:t xml:space="preserve">V </m:t>
            </m:r>
            <m:r>
              <m:rPr>
                <m:sty m:val="p"/>
              </m:rPr>
              <w:rPr>
                <w:rFonts w:ascii="Cambria Math" w:hAnsi="Cambria Math" w:cs="Arial"/>
                <w:sz w:val="30"/>
                <w:szCs w:val="30"/>
              </w:rPr>
              <m:t xml:space="preserve">× </m:t>
            </m:r>
            <m:r>
              <m:rPr>
                <m:sty m:val="p"/>
              </m:rPr>
              <w:rPr>
                <w:rFonts w:ascii="Cambria Math" w:hAnsi="Cambria Math"/>
                <w:sz w:val="30"/>
                <w:szCs w:val="30"/>
              </w:rPr>
              <m:t>n</m:t>
            </m:r>
            <m:ctrlPr>
              <w:rPr>
                <w:rFonts w:ascii="Cambria Math" w:hAnsi="Cambria Math" w:cs="Arial Unicode MS"/>
                <w:i/>
                <w:sz w:val="30"/>
                <w:szCs w:val="30"/>
              </w:rPr>
            </m:ctrlPr>
          </m:num>
          <m:den>
            <m:r>
              <m:rPr/>
              <w:rPr>
                <w:rFonts w:ascii="Cambria Math" w:hAnsi="Cambria Math" w:cs="Arial Unicode MS"/>
                <w:sz w:val="30"/>
                <w:szCs w:val="30"/>
              </w:rPr>
              <m:t>m</m:t>
            </m:r>
            <m:r>
              <m:rPr/>
              <w:rPr>
                <w:rFonts w:ascii="Cambria Math" w:hAnsi="Cambria Math" w:cs="Arial Unicode MS"/>
                <w:sz w:val="30"/>
                <w:szCs w:val="30"/>
                <w:vertAlign w:val="subscript"/>
              </w:rPr>
              <m:t>3</m:t>
            </m:r>
            <m:ctrlPr>
              <w:rPr>
                <w:rFonts w:ascii="Cambria Math" w:hAnsi="Cambria Math" w:cs="Arial Unicode MS"/>
                <w:i/>
                <w:sz w:val="30"/>
                <w:szCs w:val="30"/>
              </w:rPr>
            </m:ctrlPr>
          </m:den>
        </m:f>
      </m:oMath>
      <w:r>
        <w:rPr>
          <w:rFonts w:ascii="Arial" w:hAnsi="Arial" w:cs="Arial"/>
          <w:sz w:val="30"/>
          <w:szCs w:val="30"/>
        </w:rPr>
        <w:t>×</w:t>
      </w:r>
      <w:r>
        <w:rPr>
          <w:rFonts w:hint="eastAsia" w:hAnsi="Cambria Math" w:cs="Arial"/>
          <w:sz w:val="30"/>
          <w:szCs w:val="30"/>
        </w:rPr>
        <w:t>10</w:t>
      </w:r>
      <w:r>
        <w:rPr>
          <w:rFonts w:hint="eastAsia" w:hAnsi="Cambria Math" w:cs="Arial"/>
          <w:sz w:val="30"/>
          <w:szCs w:val="30"/>
          <w:vertAlign w:val="superscript"/>
        </w:rPr>
        <w:t xml:space="preserve">-3                                </w:t>
      </w:r>
      <w:r>
        <w:rPr>
          <w:rFonts w:hint="eastAsia" w:ascii="宋体" w:hAnsi="宋体" w:cs="宋体"/>
          <w:szCs w:val="21"/>
        </w:rPr>
        <w:t>(5)</w:t>
      </w:r>
    </w:p>
    <w:p w14:paraId="1F4D0921">
      <w:pPr>
        <w:jc w:val="left"/>
        <w:rPr>
          <w:rFonts w:ascii="宋体" w:hAnsi="宋体" w:cs="宋体"/>
          <w:szCs w:val="21"/>
        </w:rPr>
      </w:pPr>
    </w:p>
    <w:p w14:paraId="1A89696F">
      <w:pPr>
        <w:jc w:val="left"/>
        <w:rPr>
          <w:rFonts w:ascii="宋体" w:hAnsi="宋体" w:cs="宋体"/>
          <w:szCs w:val="21"/>
        </w:rPr>
      </w:pPr>
    </w:p>
    <w:p w14:paraId="70DD5DDC">
      <w:pPr>
        <w:spacing w:line="240" w:lineRule="exact"/>
        <w:jc w:val="left"/>
        <w:rPr>
          <w:sz w:val="20"/>
          <w:szCs w:val="20"/>
        </w:rPr>
      </w:pPr>
      <w:r>
        <w:rPr>
          <w:rFonts w:ascii="宋体" w:hAnsi="宋体" w:cs="宋体"/>
          <w:szCs w:val="21"/>
        </w:rPr>
        <w:t>式中：</w:t>
      </w:r>
      <w:r>
        <w:rPr>
          <w:rFonts w:ascii="Arial Unicode MS" w:hAnsi="Arial Unicode MS" w:eastAsia="Arial Unicode MS" w:cs="Arial Unicode MS"/>
          <w:i/>
          <w:iCs/>
          <w:sz w:val="23"/>
          <w:szCs w:val="23"/>
        </w:rPr>
        <w:t>ω</w:t>
      </w:r>
      <w:r>
        <w:rPr>
          <w:rFonts w:eastAsia="Times New Roman"/>
          <w:sz w:val="20"/>
          <w:szCs w:val="20"/>
        </w:rPr>
        <w:t>—</w:t>
      </w:r>
      <w:r>
        <w:rPr>
          <w:rFonts w:ascii="宋体" w:hAnsi="宋体" w:cs="宋体"/>
          <w:sz w:val="20"/>
          <w:szCs w:val="20"/>
        </w:rPr>
        <w:t>固体废物中待测</w:t>
      </w:r>
      <w:r>
        <w:rPr>
          <w:rFonts w:hint="eastAsia" w:ascii="宋体" w:hAnsi="宋体" w:cs="宋体"/>
          <w:sz w:val="20"/>
          <w:szCs w:val="20"/>
        </w:rPr>
        <w:t>铀/钍</w:t>
      </w:r>
      <w:r>
        <w:rPr>
          <w:rFonts w:ascii="宋体" w:hAnsi="宋体" w:cs="宋体"/>
          <w:sz w:val="20"/>
          <w:szCs w:val="20"/>
        </w:rPr>
        <w:t>元素的含量，</w:t>
      </w:r>
      <w:r>
        <w:rPr>
          <w:rFonts w:eastAsia="Times New Roman"/>
          <w:sz w:val="20"/>
          <w:szCs w:val="20"/>
        </w:rPr>
        <w:t>mg/kg</w:t>
      </w:r>
      <w:r>
        <w:rPr>
          <w:rFonts w:ascii="宋体" w:hAnsi="宋体" w:cs="宋体"/>
          <w:sz w:val="20"/>
          <w:szCs w:val="20"/>
        </w:rPr>
        <w:t>；</w:t>
      </w:r>
    </w:p>
    <w:p w14:paraId="53CC1C54">
      <w:pPr>
        <w:spacing w:line="1" w:lineRule="exact"/>
        <w:rPr>
          <w:sz w:val="20"/>
          <w:szCs w:val="20"/>
        </w:rPr>
      </w:pPr>
    </w:p>
    <w:p w14:paraId="1139389B">
      <w:pPr>
        <w:spacing w:line="350" w:lineRule="exact"/>
        <w:ind w:right="1964" w:firstLine="630" w:firstLineChars="300"/>
        <w:rPr>
          <w:rFonts w:ascii="宋体" w:hAnsi="宋体" w:cs="宋体"/>
          <w:szCs w:val="21"/>
        </w:rPr>
      </w:pPr>
      <m:oMath>
        <m:r>
          <m:rPr/>
          <w:rPr>
            <w:rFonts w:ascii="Cambria Math" w:hAnsi="Cambria Math" w:cs="Cambria Math"/>
            <w:sz w:val="21"/>
            <w:szCs w:val="21"/>
            <w:vertAlign w:val="subscript"/>
          </w:rPr>
          <m:t>ρ</m:t>
        </m:r>
        <m:r>
          <m:rPr/>
          <w:rPr>
            <w:rFonts w:eastAsia="Times New Roman"/>
            <w:sz w:val="21"/>
            <w:szCs w:val="21"/>
            <w:vertAlign w:val="subscript"/>
          </w:rPr>
          <m:t>x</m:t>
        </m:r>
      </m:oMath>
      <w:r>
        <w:rPr>
          <w:rFonts w:eastAsia="Times New Roman"/>
          <w:szCs w:val="21"/>
        </w:rPr>
        <w:t>—</w:t>
      </w:r>
      <w:r>
        <w:rPr>
          <w:rFonts w:ascii="宋体" w:hAnsi="宋体" w:cs="宋体"/>
          <w:szCs w:val="21"/>
        </w:rPr>
        <w:t>由校准曲线计算测定试样中待测元素的浓度，</w:t>
      </w:r>
      <w:r>
        <w:rPr>
          <w:rFonts w:eastAsia="Times New Roman"/>
          <w:szCs w:val="21"/>
        </w:rPr>
        <w:t>µg/L</w:t>
      </w:r>
      <w:r>
        <w:rPr>
          <w:rFonts w:ascii="宋体" w:hAnsi="宋体" w:cs="宋体"/>
          <w:szCs w:val="21"/>
        </w:rPr>
        <w:t>；</w:t>
      </w:r>
    </w:p>
    <w:p w14:paraId="64793966">
      <w:pPr>
        <w:spacing w:line="350" w:lineRule="exact"/>
        <w:ind w:right="1964" w:firstLine="630" w:firstLineChars="300"/>
        <w:rPr>
          <w:sz w:val="20"/>
          <w:szCs w:val="20"/>
        </w:rPr>
      </w:pPr>
      <m:oMath>
        <m:r>
          <m:rPr/>
          <w:rPr>
            <w:rFonts w:ascii="Cambria Math" w:hAnsi="Cambria Math" w:cs="Cambria Math"/>
            <w:sz w:val="21"/>
            <w:szCs w:val="21"/>
            <w:vertAlign w:val="subscript"/>
          </w:rPr>
          <m:t>ρo</m:t>
        </m:r>
      </m:oMath>
      <w:r>
        <w:rPr>
          <w:rFonts w:eastAsia="Times New Roman"/>
          <w:szCs w:val="21"/>
        </w:rPr>
        <w:t xml:space="preserve"> —</w:t>
      </w:r>
      <w:r>
        <w:rPr>
          <w:rFonts w:ascii="宋体" w:hAnsi="宋体" w:cs="宋体"/>
          <w:szCs w:val="21"/>
        </w:rPr>
        <w:t>空白试样中待测元素浓度，</w:t>
      </w:r>
      <w:r>
        <w:rPr>
          <w:rFonts w:eastAsia="Times New Roman"/>
          <w:szCs w:val="21"/>
        </w:rPr>
        <w:t>µg/L</w:t>
      </w:r>
      <w:r>
        <w:rPr>
          <w:rFonts w:ascii="宋体" w:hAnsi="宋体" w:cs="宋体"/>
          <w:szCs w:val="21"/>
        </w:rPr>
        <w:t>；</w:t>
      </w:r>
    </w:p>
    <w:p w14:paraId="03FCA2C7">
      <w:pPr>
        <w:spacing w:line="47" w:lineRule="exact"/>
        <w:rPr>
          <w:sz w:val="20"/>
          <w:szCs w:val="20"/>
        </w:rPr>
      </w:pPr>
    </w:p>
    <w:p w14:paraId="5063C1AC">
      <w:pPr>
        <w:tabs>
          <w:tab w:val="left" w:pos="1560"/>
        </w:tabs>
        <w:spacing w:line="276" w:lineRule="exact"/>
        <w:ind w:firstLine="630" w:firstLineChars="300"/>
        <w:jc w:val="left"/>
        <w:rPr>
          <w:rFonts w:ascii="宋体" w:hAnsi="宋体" w:cs="宋体"/>
          <w:szCs w:val="21"/>
        </w:rPr>
      </w:pPr>
      <m:oMath>
        <m:r>
          <m:rPr>
            <m:sty m:val="p"/>
          </m:rPr>
          <w:rPr>
            <w:rFonts w:ascii="Cambria Math" w:hAnsi="Cambria Math"/>
            <w:sz w:val="21"/>
            <w:szCs w:val="21"/>
          </w:rPr>
          <m:t>V</m:t>
        </m:r>
      </m:oMath>
      <w:r>
        <w:rPr>
          <w:rFonts w:eastAsia="Times New Roman"/>
          <w:szCs w:val="21"/>
        </w:rPr>
        <w:t>—</w:t>
      </w:r>
      <w:r>
        <w:rPr>
          <w:rFonts w:ascii="宋体" w:hAnsi="宋体" w:cs="宋体"/>
          <w:szCs w:val="21"/>
        </w:rPr>
        <w:t>消解后试样的定容体积，</w:t>
      </w:r>
      <w:r>
        <w:rPr>
          <w:rFonts w:eastAsia="Times New Roman"/>
          <w:szCs w:val="21"/>
        </w:rPr>
        <w:t>m</w:t>
      </w:r>
      <w:r>
        <w:rPr>
          <w:rFonts w:hint="eastAsia"/>
          <w:szCs w:val="21"/>
        </w:rPr>
        <w:t>L</w:t>
      </w:r>
      <w:r>
        <w:rPr>
          <w:rFonts w:ascii="宋体" w:hAnsi="宋体" w:cs="宋体"/>
          <w:szCs w:val="21"/>
        </w:rPr>
        <w:t>；</w:t>
      </w:r>
    </w:p>
    <w:p w14:paraId="69B1870D">
      <w:pPr>
        <w:tabs>
          <w:tab w:val="left" w:pos="1560"/>
        </w:tabs>
        <w:spacing w:line="276" w:lineRule="exact"/>
        <w:ind w:firstLine="630" w:firstLineChars="300"/>
        <w:jc w:val="left"/>
        <w:rPr>
          <w:rFonts w:ascii="宋体" w:hAnsi="宋体" w:cs="宋体"/>
          <w:szCs w:val="21"/>
        </w:rPr>
      </w:pPr>
      <m:oMath>
        <m:r>
          <m:rPr>
            <m:sty m:val="p"/>
          </m:rPr>
          <w:rPr>
            <w:rFonts w:ascii="Cambria Math" w:hAnsi="Cambria Math" w:cs="Arial"/>
            <w:sz w:val="21"/>
            <w:szCs w:val="21"/>
          </w:rPr>
          <m:t xml:space="preserve"> </m:t>
        </m:r>
        <m:r>
          <m:rPr>
            <m:sty m:val="p"/>
          </m:rPr>
          <w:rPr>
            <w:rFonts w:ascii="Cambria Math" w:hAnsi="Cambria Math"/>
            <w:sz w:val="21"/>
            <w:szCs w:val="21"/>
          </w:rPr>
          <m:t>n</m:t>
        </m:r>
      </m:oMath>
      <w:r>
        <w:rPr>
          <w:rFonts w:eastAsia="Times New Roman"/>
          <w:szCs w:val="21"/>
        </w:rPr>
        <w:t>—</w:t>
      </w:r>
      <w:r>
        <w:rPr>
          <w:rFonts w:hint="eastAsia"/>
          <w:szCs w:val="21"/>
        </w:rPr>
        <w:t>稀释倍数；</w:t>
      </w:r>
    </w:p>
    <w:p w14:paraId="2501EB75">
      <w:pPr>
        <w:tabs>
          <w:tab w:val="left" w:pos="1560"/>
        </w:tabs>
        <w:spacing w:line="276" w:lineRule="exact"/>
        <w:ind w:firstLine="630" w:firstLineChars="300"/>
        <w:jc w:val="left"/>
        <w:rPr>
          <w:rFonts w:ascii="宋体" w:hAnsi="宋体" w:cs="宋体"/>
          <w:szCs w:val="21"/>
        </w:rPr>
      </w:pPr>
      <m:oMath>
        <m:r>
          <m:rPr/>
          <w:rPr>
            <w:rFonts w:ascii="Cambria Math" w:hAnsi="Cambria Math" w:cs="Arial Unicode MS"/>
            <w:sz w:val="21"/>
            <w:szCs w:val="21"/>
          </w:rPr>
          <m:t>m</m:t>
        </m:r>
        <m:r>
          <m:rPr/>
          <w:rPr>
            <w:rFonts w:ascii="Cambria Math" w:hAnsi="Cambria Math" w:cs="Arial Unicode MS"/>
            <w:sz w:val="21"/>
            <w:szCs w:val="21"/>
            <w:vertAlign w:val="subscript"/>
          </w:rPr>
          <m:t>3</m:t>
        </m:r>
      </m:oMath>
      <w:r>
        <w:rPr>
          <w:rFonts w:eastAsia="Times New Roman"/>
          <w:szCs w:val="21"/>
        </w:rPr>
        <w:t>—</w:t>
      </w:r>
      <w:r>
        <w:rPr>
          <w:rFonts w:ascii="宋体" w:hAnsi="宋体" w:cs="宋体"/>
          <w:szCs w:val="21"/>
        </w:rPr>
        <w:t>称取</w:t>
      </w:r>
      <w:r>
        <w:rPr>
          <w:rFonts w:hint="eastAsia" w:ascii="宋体" w:hAnsi="宋体" w:cs="宋体"/>
          <w:szCs w:val="21"/>
        </w:rPr>
        <w:t>样品</w:t>
      </w:r>
      <w:r>
        <w:rPr>
          <w:rFonts w:ascii="宋体" w:hAnsi="宋体" w:cs="宋体"/>
          <w:szCs w:val="21"/>
        </w:rPr>
        <w:t>质量，</w:t>
      </w:r>
      <w:r>
        <w:rPr>
          <w:rFonts w:eastAsia="Times New Roman"/>
          <w:szCs w:val="21"/>
        </w:rPr>
        <w:t>g</w:t>
      </w:r>
      <w:r>
        <w:rPr>
          <w:rFonts w:ascii="宋体" w:hAnsi="宋体" w:cs="宋体"/>
          <w:szCs w:val="21"/>
        </w:rPr>
        <w:t>。</w:t>
      </w:r>
    </w:p>
    <w:p w14:paraId="75F6BFE9">
      <w:pPr>
        <w:tabs>
          <w:tab w:val="left" w:pos="1560"/>
        </w:tabs>
        <w:spacing w:line="276" w:lineRule="exact"/>
        <w:jc w:val="left"/>
        <w:rPr>
          <w:rFonts w:ascii="宋体" w:hAnsi="宋体" w:cs="宋体"/>
          <w:szCs w:val="21"/>
        </w:rPr>
      </w:pPr>
    </w:p>
    <w:p w14:paraId="43466A22">
      <w:pPr>
        <w:tabs>
          <w:tab w:val="left" w:pos="1560"/>
        </w:tabs>
        <w:spacing w:line="276" w:lineRule="exact"/>
        <w:jc w:val="left"/>
        <w:rPr>
          <w:rFonts w:ascii="宋体" w:hAnsi="宋体" w:cs="宋体"/>
          <w:szCs w:val="21"/>
        </w:rPr>
      </w:pPr>
      <w:r>
        <w:rPr>
          <w:rFonts w:hint="eastAsia" w:ascii="宋体" w:hAnsi="宋体" w:cs="宋体"/>
          <w:b/>
          <w:bCs/>
          <w:kern w:val="0"/>
          <w:szCs w:val="21"/>
          <w:lang w:val="en-US" w:eastAsia="zh-CN"/>
        </w:rPr>
        <w:t>10</w:t>
      </w:r>
      <w:r>
        <w:rPr>
          <w:rFonts w:hint="eastAsia" w:ascii="宋体" w:hAnsi="宋体" w:cs="宋体"/>
          <w:b/>
          <w:bCs/>
          <w:kern w:val="0"/>
          <w:szCs w:val="21"/>
        </w:rPr>
        <w:t>.1.2.2</w:t>
      </w:r>
      <w:r>
        <w:rPr>
          <w:rFonts w:ascii="宋体" w:hAnsi="宋体" w:cs="宋体"/>
          <w:szCs w:val="21"/>
        </w:rPr>
        <w:t>固体废物中</w:t>
      </w:r>
      <w:r>
        <w:rPr>
          <w:rFonts w:hint="eastAsia" w:ascii="宋体" w:hAnsi="宋体" w:cs="宋体"/>
          <w:szCs w:val="21"/>
        </w:rPr>
        <w:t>铀-238</w:t>
      </w:r>
      <w:r>
        <w:rPr>
          <w:rFonts w:hint="eastAsia" w:ascii="宋体" w:hAnsi="宋体" w:cs="宋体"/>
          <w:szCs w:val="21"/>
          <w:lang w:eastAsia="zh-CN"/>
        </w:rPr>
        <w:t>或</w:t>
      </w:r>
      <w:r>
        <w:rPr>
          <w:rFonts w:hint="eastAsia" w:ascii="宋体" w:hAnsi="宋体" w:cs="宋体"/>
          <w:szCs w:val="21"/>
        </w:rPr>
        <w:t>钍-232比活度</w:t>
      </w:r>
      <w:r>
        <w:rPr>
          <w:rFonts w:hint="eastAsia" w:ascii="宋体" w:hAnsi="宋体" w:cs="宋体"/>
          <w:i/>
          <w:iCs/>
          <w:sz w:val="30"/>
          <w:szCs w:val="30"/>
        </w:rPr>
        <w:t>Ar</w:t>
      </w:r>
      <w:r>
        <w:rPr>
          <w:rFonts w:ascii="宋体" w:hAnsi="宋体" w:cs="宋体"/>
          <w:szCs w:val="21"/>
        </w:rPr>
        <w:t>（</w:t>
      </w:r>
      <w:r>
        <w:rPr>
          <w:rFonts w:hint="eastAsia" w:ascii="宋体" w:hAnsi="宋体" w:cs="宋体"/>
          <w:szCs w:val="21"/>
        </w:rPr>
        <w:t>Bq</w:t>
      </w:r>
      <w:r>
        <w:rPr>
          <w:rFonts w:eastAsia="Times New Roman"/>
          <w:szCs w:val="21"/>
        </w:rPr>
        <w:t>/kg</w:t>
      </w:r>
      <w:r>
        <w:rPr>
          <w:rFonts w:ascii="宋体" w:hAnsi="宋体" w:cs="宋体"/>
          <w:szCs w:val="21"/>
        </w:rPr>
        <w:t>）按照公式（</w:t>
      </w:r>
      <w:r>
        <w:rPr>
          <w:rFonts w:hint="eastAsia" w:ascii="宋体" w:hAnsi="宋体" w:cs="宋体"/>
          <w:szCs w:val="21"/>
        </w:rPr>
        <w:t>2</w:t>
      </w:r>
      <w:r>
        <w:rPr>
          <w:rFonts w:ascii="宋体" w:hAnsi="宋体" w:cs="宋体"/>
          <w:szCs w:val="21"/>
        </w:rPr>
        <w:t>）</w:t>
      </w:r>
      <w:r>
        <w:rPr>
          <w:rFonts w:hint="eastAsia" w:ascii="宋体" w:hAnsi="宋体" w:cs="宋体"/>
          <w:szCs w:val="21"/>
          <w:lang w:eastAsia="zh-CN"/>
        </w:rPr>
        <w:t>或</w:t>
      </w:r>
      <w:r>
        <w:rPr>
          <w:rFonts w:hint="eastAsia" w:ascii="宋体" w:hAnsi="宋体" w:cs="宋体"/>
          <w:szCs w:val="21"/>
        </w:rPr>
        <w:t>(3)</w:t>
      </w:r>
      <w:r>
        <w:rPr>
          <w:rFonts w:ascii="宋体" w:hAnsi="宋体" w:cs="宋体"/>
          <w:szCs w:val="21"/>
        </w:rPr>
        <w:t>进行计算。</w:t>
      </w:r>
    </w:p>
    <w:p w14:paraId="764A7802">
      <w:pPr>
        <w:tabs>
          <w:tab w:val="left" w:pos="1560"/>
        </w:tabs>
        <w:spacing w:line="276" w:lineRule="exact"/>
        <w:jc w:val="left"/>
        <w:rPr>
          <w:rFonts w:ascii="宋体" w:hAnsi="宋体" w:cs="宋体"/>
          <w:szCs w:val="21"/>
        </w:rPr>
      </w:pPr>
    </w:p>
    <w:p w14:paraId="74DCF18D">
      <w:pPr>
        <w:tabs>
          <w:tab w:val="left" w:pos="1560"/>
        </w:tabs>
        <w:spacing w:line="276" w:lineRule="exact"/>
        <w:jc w:val="left"/>
        <w:rPr>
          <w:rFonts w:ascii="宋体" w:hAnsi="宋体" w:cs="宋体"/>
          <w:b/>
          <w:bCs/>
          <w:kern w:val="0"/>
          <w:szCs w:val="21"/>
        </w:rPr>
      </w:pPr>
      <w:r>
        <w:rPr>
          <w:rFonts w:hint="eastAsia" w:ascii="宋体" w:hAnsi="宋体" w:cs="宋体"/>
          <w:b/>
          <w:bCs/>
          <w:kern w:val="0"/>
          <w:szCs w:val="21"/>
          <w:lang w:val="en-US" w:eastAsia="zh-CN"/>
        </w:rPr>
        <w:t>10</w:t>
      </w:r>
      <w:r>
        <w:rPr>
          <w:rFonts w:hint="eastAsia" w:ascii="宋体" w:hAnsi="宋体" w:cs="宋体"/>
          <w:b/>
          <w:bCs/>
          <w:kern w:val="0"/>
          <w:szCs w:val="21"/>
        </w:rPr>
        <w:t>.2固体废物浸出液测定结果的计算</w:t>
      </w:r>
    </w:p>
    <w:p w14:paraId="5B8084FC">
      <w:pPr>
        <w:tabs>
          <w:tab w:val="left" w:pos="1560"/>
        </w:tabs>
        <w:spacing w:line="276" w:lineRule="exact"/>
        <w:jc w:val="left"/>
        <w:rPr>
          <w:rFonts w:ascii="宋体" w:hAnsi="宋体" w:cs="宋体"/>
          <w:b/>
          <w:bCs/>
          <w:kern w:val="0"/>
          <w:szCs w:val="21"/>
        </w:rPr>
      </w:pPr>
    </w:p>
    <w:p w14:paraId="55B9C1A2">
      <w:pPr>
        <w:tabs>
          <w:tab w:val="left" w:pos="1560"/>
        </w:tabs>
        <w:spacing w:line="276" w:lineRule="exact"/>
        <w:jc w:val="left"/>
        <w:rPr>
          <w:rFonts w:ascii="宋体" w:hAnsi="宋体" w:cs="宋体"/>
          <w:szCs w:val="21"/>
        </w:rPr>
      </w:pPr>
      <w:r>
        <w:rPr>
          <w:rFonts w:hint="eastAsia" w:ascii="宋体" w:hAnsi="宋体" w:cs="宋体"/>
          <w:b/>
          <w:bCs/>
          <w:kern w:val="0"/>
          <w:szCs w:val="21"/>
          <w:lang w:val="en-US" w:eastAsia="zh-CN"/>
        </w:rPr>
        <w:t>10</w:t>
      </w:r>
      <w:r>
        <w:rPr>
          <w:rFonts w:hint="eastAsia" w:ascii="宋体" w:hAnsi="宋体" w:cs="宋体"/>
          <w:b/>
          <w:bCs/>
          <w:kern w:val="0"/>
          <w:szCs w:val="21"/>
        </w:rPr>
        <w:t>.2.1</w:t>
      </w:r>
      <w:r>
        <w:rPr>
          <w:rFonts w:ascii="宋体" w:hAnsi="宋体" w:cs="宋体"/>
          <w:szCs w:val="21"/>
        </w:rPr>
        <w:t>固体废物</w:t>
      </w:r>
      <w:r>
        <w:rPr>
          <w:rFonts w:hint="eastAsia" w:ascii="宋体" w:hAnsi="宋体" w:cs="宋体"/>
          <w:szCs w:val="21"/>
        </w:rPr>
        <w:t>浸出液</w:t>
      </w:r>
      <w:r>
        <w:rPr>
          <w:rFonts w:ascii="宋体" w:hAnsi="宋体" w:cs="宋体"/>
          <w:szCs w:val="21"/>
        </w:rPr>
        <w:t>中待测元素的</w:t>
      </w:r>
      <w:r>
        <w:rPr>
          <w:rFonts w:hint="eastAsia" w:ascii="宋体" w:hAnsi="宋体" w:cs="宋体"/>
          <w:szCs w:val="21"/>
        </w:rPr>
        <w:t>质量浓度</w:t>
      </w:r>
      <w:r>
        <w:rPr>
          <w:rFonts w:ascii="Cambria Math" w:hAnsi="Cambria Math" w:cs="Cambria Math"/>
          <w:sz w:val="30"/>
          <w:szCs w:val="30"/>
        </w:rPr>
        <w:t>ρ</w:t>
      </w:r>
      <w:r>
        <w:rPr>
          <w:rFonts w:ascii="宋体" w:hAnsi="宋体" w:cs="宋体"/>
          <w:szCs w:val="21"/>
        </w:rPr>
        <w:t>（</w:t>
      </w:r>
      <w:r>
        <w:rPr>
          <w:rFonts w:eastAsia="Times New Roman"/>
          <w:szCs w:val="21"/>
        </w:rPr>
        <w:t>µg/L</w:t>
      </w:r>
      <w:r>
        <w:rPr>
          <w:rFonts w:ascii="宋体" w:hAnsi="宋体" w:cs="宋体"/>
          <w:szCs w:val="21"/>
        </w:rPr>
        <w:t>）按照公式（</w:t>
      </w:r>
      <w:r>
        <w:rPr>
          <w:rFonts w:hint="eastAsia" w:ascii="宋体" w:hAnsi="宋体" w:cs="宋体"/>
          <w:szCs w:val="21"/>
        </w:rPr>
        <w:t>6</w:t>
      </w:r>
      <w:r>
        <w:rPr>
          <w:rFonts w:ascii="宋体" w:hAnsi="宋体" w:cs="宋体"/>
          <w:szCs w:val="21"/>
        </w:rPr>
        <w:t>）进行计算。</w:t>
      </w:r>
    </w:p>
    <w:p w14:paraId="01BA23CC">
      <w:pPr>
        <w:ind w:firstLine="600" w:firstLineChars="200"/>
        <w:rPr>
          <w:rFonts w:ascii="宋体" w:hAnsi="宋体" w:cs="宋体"/>
          <w:szCs w:val="21"/>
        </w:rPr>
      </w:pPr>
      <w:r>
        <w:rPr>
          <w:rFonts w:ascii="Cambria Math" w:hAnsi="Cambria Math" w:cs="Cambria Math"/>
          <w:sz w:val="30"/>
          <w:szCs w:val="30"/>
        </w:rPr>
        <w:t>ρ</w:t>
      </w:r>
      <w:r>
        <w:rPr>
          <w:rFonts w:hint="eastAsia" w:ascii="Arial Unicode MS" w:hAnsi="Arial Unicode MS" w:eastAsia="Arial Unicode MS" w:cs="Arial Unicode MS"/>
          <w:sz w:val="30"/>
          <w:szCs w:val="30"/>
        </w:rPr>
        <w:t xml:space="preserve">= </w:t>
      </w:r>
      <m:oMath>
        <m:f>
          <m:fPr>
            <m:ctrlPr>
              <w:rPr>
                <w:rFonts w:ascii="Cambria Math" w:hAnsi="Cambria Math" w:cs="Arial Unicode MS"/>
                <w:i/>
                <w:sz w:val="30"/>
                <w:szCs w:val="30"/>
              </w:rPr>
            </m:ctrlPr>
          </m:fPr>
          <m:num>
            <m:r>
              <m:rPr/>
              <w:rPr>
                <w:rFonts w:ascii="Cambria Math" w:hAnsi="Cambria Math" w:cs="Arial Unicode MS"/>
                <w:sz w:val="30"/>
                <w:szCs w:val="30"/>
              </w:rPr>
              <m:t>（</m:t>
            </m:r>
            <m:r>
              <m:rPr/>
              <w:rPr>
                <w:rFonts w:ascii="Cambria Math" w:hAnsi="Cambria Math" w:cs="Cambria Math"/>
                <w:sz w:val="30"/>
                <w:szCs w:val="30"/>
                <w:vertAlign w:val="subscript"/>
              </w:rPr>
              <m:t>ρ</m:t>
            </m:r>
            <m:r>
              <m:rPr/>
              <w:rPr>
                <w:rFonts w:eastAsia="Times New Roman"/>
                <w:sz w:val="30"/>
                <w:szCs w:val="30"/>
                <w:vertAlign w:val="subscript"/>
              </w:rPr>
              <m:t>x</m:t>
            </m:r>
            <m:r>
              <m:rPr/>
              <w:rPr>
                <w:rFonts w:ascii="Cambria Math" w:hAnsi="Cambria Math"/>
                <w:sz w:val="30"/>
                <w:szCs w:val="30"/>
                <w:vertAlign w:val="subscript"/>
              </w:rPr>
              <m:t>−</m:t>
            </m:r>
            <m:r>
              <m:rPr/>
              <w:rPr>
                <w:rFonts w:ascii="Cambria Math" w:hAnsi="Cambria Math" w:cs="Cambria Math"/>
                <w:sz w:val="30"/>
                <w:szCs w:val="30"/>
                <w:vertAlign w:val="subscript"/>
              </w:rPr>
              <m:t>ρo</m:t>
            </m:r>
            <m:r>
              <m:rPr>
                <m:sty m:val="p"/>
              </m:rPr>
              <w:rPr>
                <w:rFonts w:ascii="Cambria Math" w:hAnsi="Cambria Math"/>
                <w:sz w:val="30"/>
                <w:szCs w:val="30"/>
              </w:rPr>
              <m:t>）</m:t>
            </m:r>
            <m:r>
              <m:rPr>
                <m:sty m:val="p"/>
              </m:rPr>
              <w:rPr>
                <w:rFonts w:ascii="Cambria Math" w:hAnsi="Cambria Math" w:cs="Arial"/>
                <w:sz w:val="30"/>
                <w:szCs w:val="30"/>
              </w:rPr>
              <m:t>×</m:t>
            </m:r>
            <m:sSub>
              <m:sSubPr>
                <m:ctrlPr>
                  <w:rPr>
                    <w:rFonts w:ascii="Cambria Math" w:hAnsi="Cambria Math"/>
                    <w:sz w:val="30"/>
                    <w:szCs w:val="30"/>
                  </w:rPr>
                </m:ctrlPr>
              </m:sSubPr>
              <m:e>
                <m:r>
                  <m:rPr>
                    <m:sty m:val="p"/>
                  </m:rPr>
                  <w:rPr>
                    <w:rFonts w:ascii="Cambria Math" w:hAnsi="Cambria Math"/>
                    <w:sz w:val="30"/>
                    <w:szCs w:val="30"/>
                  </w:rPr>
                  <m:t>V</m:t>
                </m:r>
                <m:ctrlPr>
                  <w:rPr>
                    <w:rFonts w:ascii="Cambria Math" w:hAnsi="Cambria Math"/>
                    <w:sz w:val="30"/>
                    <w:szCs w:val="30"/>
                  </w:rPr>
                </m:ctrlPr>
              </m:e>
              <m:sub>
                <m:r>
                  <m:rPr>
                    <m:sty m:val="p"/>
                  </m:rPr>
                  <w:rPr>
                    <w:rFonts w:ascii="Cambria Math" w:hAnsi="Cambria Math"/>
                    <w:sz w:val="30"/>
                    <w:szCs w:val="30"/>
                  </w:rPr>
                  <m:t>2</m:t>
                </m:r>
                <m:ctrlPr>
                  <w:rPr>
                    <w:rFonts w:ascii="Cambria Math" w:hAnsi="Cambria Math"/>
                    <w:sz w:val="30"/>
                    <w:szCs w:val="30"/>
                  </w:rPr>
                </m:ctrlPr>
              </m:sub>
            </m:sSub>
            <m:ctrlPr>
              <w:rPr>
                <w:rFonts w:ascii="Cambria Math" w:hAnsi="Cambria Math" w:cs="Arial Unicode MS"/>
                <w:i/>
                <w:sz w:val="30"/>
                <w:szCs w:val="30"/>
              </w:rPr>
            </m:ctrlPr>
          </m:num>
          <m:den>
            <m:sSub>
              <m:sSubPr>
                <m:ctrlPr>
                  <w:rPr>
                    <w:rFonts w:ascii="Cambria Math" w:hAnsi="Cambria Math" w:cs="Arial Unicode MS"/>
                    <w:i/>
                    <w:sz w:val="30"/>
                    <w:szCs w:val="30"/>
                  </w:rPr>
                </m:ctrlPr>
              </m:sSubPr>
              <m:e>
                <m:r>
                  <m:rPr/>
                  <w:rPr>
                    <w:rFonts w:ascii="Cambria Math" w:hAnsi="Cambria Math" w:cs="Arial Unicode MS"/>
                    <w:sz w:val="30"/>
                    <w:szCs w:val="30"/>
                  </w:rPr>
                  <m:t>V</m:t>
                </m:r>
                <m:ctrlPr>
                  <w:rPr>
                    <w:rFonts w:ascii="Cambria Math" w:hAnsi="Cambria Math" w:cs="Arial Unicode MS"/>
                    <w:i/>
                    <w:sz w:val="30"/>
                    <w:szCs w:val="30"/>
                  </w:rPr>
                </m:ctrlPr>
              </m:e>
              <m:sub>
                <m:r>
                  <m:rPr/>
                  <w:rPr>
                    <w:rFonts w:ascii="Cambria Math" w:hAnsi="Cambria Math" w:cs="Arial Unicode MS"/>
                    <w:sz w:val="30"/>
                    <w:szCs w:val="30"/>
                  </w:rPr>
                  <m:t>1</m:t>
                </m:r>
                <m:ctrlPr>
                  <w:rPr>
                    <w:rFonts w:ascii="Cambria Math" w:hAnsi="Cambria Math" w:cs="Arial Unicode MS"/>
                    <w:i/>
                    <w:sz w:val="30"/>
                    <w:szCs w:val="30"/>
                  </w:rPr>
                </m:ctrlPr>
              </m:sub>
            </m:sSub>
            <m:ctrlPr>
              <w:rPr>
                <w:rFonts w:ascii="Cambria Math" w:hAnsi="Cambria Math" w:cs="Arial Unicode MS"/>
                <w:i/>
                <w:sz w:val="30"/>
                <w:szCs w:val="30"/>
              </w:rPr>
            </m:ctrlPr>
          </m:den>
        </m:f>
      </m:oMath>
      <w:r>
        <w:rPr>
          <w:rFonts w:hint="eastAsia" w:hAnsi="Cambria Math" w:cs="Arial Unicode MS"/>
          <w:i w:val="0"/>
          <w:sz w:val="30"/>
          <w:szCs w:val="30"/>
          <w:lang w:val="en-US" w:eastAsia="zh-CN"/>
        </w:rPr>
        <w:t xml:space="preserve">                          </w:t>
      </w:r>
      <w:r>
        <w:rPr>
          <w:rFonts w:hint="eastAsia" w:ascii="宋体" w:hAnsi="宋体" w:cs="宋体"/>
          <w:szCs w:val="21"/>
        </w:rPr>
        <w:t>(6)</w:t>
      </w:r>
    </w:p>
    <w:p w14:paraId="2701AB9D">
      <w:pPr>
        <w:spacing w:line="240" w:lineRule="exact"/>
        <w:jc w:val="left"/>
        <w:rPr>
          <w:sz w:val="20"/>
          <w:szCs w:val="20"/>
        </w:rPr>
      </w:pPr>
      <w:r>
        <w:rPr>
          <w:rFonts w:ascii="宋体" w:hAnsi="宋体" w:cs="宋体"/>
          <w:szCs w:val="21"/>
        </w:rPr>
        <w:t>式中：</w:t>
      </w:r>
      <w:r>
        <w:rPr>
          <w:rFonts w:ascii="Cambria Math" w:hAnsi="Cambria Math" w:cs="Cambria Math"/>
          <w:sz w:val="30"/>
          <w:szCs w:val="30"/>
        </w:rPr>
        <w:t>ρ</w:t>
      </w:r>
      <w:r>
        <w:rPr>
          <w:rFonts w:eastAsia="Times New Roman"/>
          <w:sz w:val="20"/>
          <w:szCs w:val="20"/>
        </w:rPr>
        <w:t>—</w:t>
      </w:r>
      <w:r>
        <w:rPr>
          <w:rFonts w:ascii="宋体" w:hAnsi="宋体" w:cs="宋体"/>
          <w:sz w:val="20"/>
          <w:szCs w:val="20"/>
        </w:rPr>
        <w:t>固体废物</w:t>
      </w:r>
      <w:r>
        <w:rPr>
          <w:rFonts w:hint="eastAsia" w:ascii="宋体" w:hAnsi="宋体" w:cs="宋体"/>
          <w:sz w:val="20"/>
          <w:szCs w:val="20"/>
        </w:rPr>
        <w:t>浸出液</w:t>
      </w:r>
      <w:r>
        <w:rPr>
          <w:rFonts w:ascii="宋体" w:hAnsi="宋体" w:cs="宋体"/>
          <w:sz w:val="20"/>
          <w:szCs w:val="20"/>
        </w:rPr>
        <w:t>中待测</w:t>
      </w:r>
      <w:r>
        <w:rPr>
          <w:rFonts w:hint="eastAsia" w:ascii="宋体" w:hAnsi="宋体" w:cs="宋体"/>
          <w:sz w:val="20"/>
          <w:szCs w:val="20"/>
        </w:rPr>
        <w:t>铀/钍</w:t>
      </w:r>
      <w:r>
        <w:rPr>
          <w:rFonts w:ascii="宋体" w:hAnsi="宋体" w:cs="宋体"/>
          <w:sz w:val="20"/>
          <w:szCs w:val="20"/>
        </w:rPr>
        <w:t>元素的</w:t>
      </w:r>
      <w:r>
        <w:rPr>
          <w:rFonts w:hint="eastAsia" w:ascii="宋体" w:hAnsi="宋体" w:cs="宋体"/>
          <w:szCs w:val="21"/>
        </w:rPr>
        <w:t>质量浓度，</w:t>
      </w:r>
      <w:r>
        <w:rPr>
          <w:rFonts w:eastAsia="Times New Roman"/>
          <w:szCs w:val="21"/>
        </w:rPr>
        <w:t>µg/L</w:t>
      </w:r>
      <w:r>
        <w:rPr>
          <w:rFonts w:ascii="宋体" w:hAnsi="宋体" w:cs="宋体"/>
          <w:sz w:val="20"/>
          <w:szCs w:val="20"/>
        </w:rPr>
        <w:t>；</w:t>
      </w:r>
    </w:p>
    <w:p w14:paraId="3E429D45">
      <w:pPr>
        <w:spacing w:line="1" w:lineRule="exact"/>
        <w:rPr>
          <w:sz w:val="20"/>
          <w:szCs w:val="20"/>
        </w:rPr>
      </w:pPr>
    </w:p>
    <w:p w14:paraId="146CAC0E">
      <w:pPr>
        <w:spacing w:line="350" w:lineRule="exact"/>
        <w:ind w:right="1964" w:firstLine="630" w:firstLineChars="300"/>
        <w:rPr>
          <w:rFonts w:ascii="宋体" w:hAnsi="宋体" w:cs="宋体"/>
          <w:szCs w:val="21"/>
        </w:rPr>
      </w:pPr>
      <m:oMath>
        <m:r>
          <m:rPr/>
          <w:rPr>
            <w:rFonts w:ascii="Cambria Math" w:hAnsi="Cambria Math" w:cs="Cambria Math"/>
            <w:sz w:val="21"/>
            <w:szCs w:val="21"/>
            <w:vertAlign w:val="subscript"/>
          </w:rPr>
          <m:t>ρ</m:t>
        </m:r>
        <m:r>
          <m:rPr/>
          <w:rPr>
            <w:rFonts w:eastAsia="Times New Roman"/>
            <w:sz w:val="21"/>
            <w:szCs w:val="21"/>
            <w:vertAlign w:val="subscript"/>
          </w:rPr>
          <m:t>x</m:t>
        </m:r>
      </m:oMath>
      <w:r>
        <w:rPr>
          <w:rFonts w:eastAsia="Times New Roman"/>
          <w:szCs w:val="21"/>
        </w:rPr>
        <w:t>—</w:t>
      </w:r>
      <w:r>
        <w:rPr>
          <w:rFonts w:ascii="宋体" w:hAnsi="宋体" w:cs="宋体"/>
          <w:szCs w:val="21"/>
        </w:rPr>
        <w:t>由校准曲线计算测定试样中待测元素的浓度，</w:t>
      </w:r>
      <w:r>
        <w:rPr>
          <w:rFonts w:eastAsia="Times New Roman"/>
          <w:szCs w:val="21"/>
        </w:rPr>
        <w:t>µg/L</w:t>
      </w:r>
      <w:r>
        <w:rPr>
          <w:rFonts w:ascii="宋体" w:hAnsi="宋体" w:cs="宋体"/>
          <w:szCs w:val="21"/>
        </w:rPr>
        <w:t>；</w:t>
      </w:r>
    </w:p>
    <w:p w14:paraId="6C0C2622">
      <w:pPr>
        <w:spacing w:line="350" w:lineRule="exact"/>
        <w:ind w:right="1964" w:firstLine="630" w:firstLineChars="300"/>
        <w:rPr>
          <w:sz w:val="20"/>
          <w:szCs w:val="20"/>
        </w:rPr>
      </w:pPr>
      <m:oMath>
        <m:r>
          <m:rPr/>
          <w:rPr>
            <w:rFonts w:ascii="Cambria Math" w:hAnsi="Cambria Math" w:cs="Cambria Math"/>
            <w:sz w:val="21"/>
            <w:szCs w:val="21"/>
            <w:vertAlign w:val="subscript"/>
          </w:rPr>
          <m:t>ρo</m:t>
        </m:r>
      </m:oMath>
      <w:r>
        <w:rPr>
          <w:rFonts w:eastAsia="Times New Roman"/>
          <w:szCs w:val="21"/>
        </w:rPr>
        <w:t xml:space="preserve"> —</w:t>
      </w:r>
      <w:r>
        <w:rPr>
          <w:rFonts w:ascii="宋体" w:hAnsi="宋体" w:cs="宋体"/>
          <w:szCs w:val="21"/>
        </w:rPr>
        <w:t>空白试样中待测元素浓度，</w:t>
      </w:r>
      <w:r>
        <w:rPr>
          <w:rFonts w:eastAsia="Times New Roman"/>
          <w:szCs w:val="21"/>
        </w:rPr>
        <w:t>µg/L</w:t>
      </w:r>
      <w:r>
        <w:rPr>
          <w:rFonts w:ascii="宋体" w:hAnsi="宋体" w:cs="宋体"/>
          <w:szCs w:val="21"/>
        </w:rPr>
        <w:t>；</w:t>
      </w:r>
    </w:p>
    <w:p w14:paraId="0846F3E6">
      <w:pPr>
        <w:spacing w:line="47" w:lineRule="exact"/>
        <w:rPr>
          <w:sz w:val="20"/>
          <w:szCs w:val="20"/>
        </w:rPr>
      </w:pPr>
    </w:p>
    <w:p w14:paraId="46277D63">
      <w:pPr>
        <w:tabs>
          <w:tab w:val="left" w:pos="1560"/>
        </w:tabs>
        <w:spacing w:line="276" w:lineRule="exact"/>
        <w:ind w:firstLine="630" w:firstLineChars="300"/>
        <w:jc w:val="left"/>
        <w:rPr>
          <w:rFonts w:ascii="宋体" w:hAnsi="宋体" w:cs="宋体"/>
          <w:szCs w:val="21"/>
        </w:rPr>
      </w:pPr>
      <m:oMath>
        <m:sSub>
          <m:sSubPr>
            <m:ctrlPr>
              <w:rPr>
                <w:rFonts w:ascii="Cambria Math" w:hAnsi="Cambria Math" w:cs="Arial Unicode MS"/>
                <w:i/>
                <w:sz w:val="21"/>
                <w:szCs w:val="21"/>
              </w:rPr>
            </m:ctrlPr>
          </m:sSubPr>
          <m:e>
            <m:r>
              <m:rPr/>
              <w:rPr>
                <w:rFonts w:ascii="Cambria Math" w:hAnsi="Cambria Math" w:cs="Arial Unicode MS"/>
                <w:sz w:val="21"/>
                <w:szCs w:val="21"/>
              </w:rPr>
              <m:t>V</m:t>
            </m:r>
            <m:ctrlPr>
              <w:rPr>
                <w:rFonts w:ascii="Cambria Math" w:hAnsi="Cambria Math" w:cs="Arial Unicode MS"/>
                <w:i/>
                <w:sz w:val="21"/>
                <w:szCs w:val="21"/>
              </w:rPr>
            </m:ctrlPr>
          </m:e>
          <m:sub>
            <m:r>
              <m:rPr/>
              <w:rPr>
                <w:rFonts w:ascii="Cambria Math" w:hAnsi="Cambria Math" w:cs="Arial Unicode MS"/>
                <w:sz w:val="21"/>
                <w:szCs w:val="21"/>
              </w:rPr>
              <m:t>1</m:t>
            </m:r>
            <m:ctrlPr>
              <w:rPr>
                <w:rFonts w:ascii="Cambria Math" w:hAnsi="Cambria Math" w:cs="Arial Unicode MS"/>
                <w:i/>
                <w:sz w:val="21"/>
                <w:szCs w:val="21"/>
              </w:rPr>
            </m:ctrlPr>
          </m:sub>
        </m:sSub>
      </m:oMath>
      <w:r>
        <w:rPr>
          <w:rFonts w:eastAsia="Times New Roman"/>
          <w:szCs w:val="21"/>
        </w:rPr>
        <w:t>—</w:t>
      </w:r>
      <w:r>
        <w:rPr>
          <w:rFonts w:ascii="宋体" w:hAnsi="宋体" w:cs="宋体"/>
          <w:szCs w:val="21"/>
        </w:rPr>
        <w:t>浸出液取样体积，</w:t>
      </w:r>
      <w:r>
        <w:rPr>
          <w:rFonts w:eastAsia="Times New Roman"/>
          <w:szCs w:val="21"/>
        </w:rPr>
        <w:t>m</w:t>
      </w:r>
      <w:r>
        <w:rPr>
          <w:rFonts w:hint="eastAsia"/>
          <w:szCs w:val="21"/>
        </w:rPr>
        <w:t>L</w:t>
      </w:r>
      <w:r>
        <w:rPr>
          <w:rFonts w:ascii="宋体" w:hAnsi="宋体" w:cs="宋体"/>
          <w:szCs w:val="21"/>
        </w:rPr>
        <w:t>；</w:t>
      </w:r>
    </w:p>
    <w:p w14:paraId="78B69790">
      <w:pPr>
        <w:ind w:firstLine="630" w:firstLineChars="300"/>
        <w:jc w:val="left"/>
        <w:rPr>
          <w:rFonts w:ascii="宋体" w:hAnsi="宋体" w:cs="宋体"/>
          <w:szCs w:val="21"/>
        </w:rPr>
      </w:pPr>
      <m:oMath>
        <m:sSub>
          <m:sSubPr>
            <m:ctrlPr>
              <w:rPr>
                <w:rFonts w:ascii="Cambria Math" w:hAnsi="Cambria Math"/>
                <w:sz w:val="21"/>
                <w:szCs w:val="21"/>
              </w:rPr>
            </m:ctrlPr>
          </m:sSubPr>
          <m:e>
            <m:r>
              <m:rPr>
                <m:sty m:val="p"/>
              </m:rPr>
              <w:rPr>
                <w:rFonts w:ascii="Cambria Math" w:hAnsi="Cambria Math"/>
                <w:sz w:val="21"/>
                <w:szCs w:val="21"/>
              </w:rPr>
              <m:t>V</m:t>
            </m:r>
            <m:ctrlPr>
              <w:rPr>
                <w:rFonts w:ascii="Cambria Math" w:hAnsi="Cambria Math"/>
                <w:sz w:val="21"/>
                <w:szCs w:val="21"/>
              </w:rPr>
            </m:ctrlPr>
          </m:e>
          <m:sub>
            <m:r>
              <m:rPr>
                <m:sty m:val="p"/>
              </m:rPr>
              <w:rPr>
                <w:rFonts w:ascii="Cambria Math" w:hAnsi="Cambria Math"/>
                <w:sz w:val="21"/>
                <w:szCs w:val="21"/>
              </w:rPr>
              <m:t>2</m:t>
            </m:r>
            <m:ctrlPr>
              <w:rPr>
                <w:rFonts w:ascii="Cambria Math" w:hAnsi="Cambria Math"/>
                <w:sz w:val="21"/>
                <w:szCs w:val="21"/>
              </w:rPr>
            </m:ctrlPr>
          </m:sub>
        </m:sSub>
      </m:oMath>
      <w:r>
        <w:rPr>
          <w:rFonts w:eastAsia="Times New Roman"/>
          <w:szCs w:val="21"/>
        </w:rPr>
        <w:t>—</w:t>
      </w:r>
      <w:r>
        <w:rPr>
          <w:rFonts w:ascii="宋体" w:hAnsi="宋体" w:cs="宋体"/>
          <w:szCs w:val="21"/>
        </w:rPr>
        <w:t>消解后试样的定容体积</w:t>
      </w:r>
      <w:r>
        <w:rPr>
          <w:rFonts w:hint="eastAsia" w:ascii="宋体" w:hAnsi="宋体" w:cs="宋体"/>
          <w:szCs w:val="21"/>
        </w:rPr>
        <w:t>，</w:t>
      </w:r>
      <w:r>
        <w:rPr>
          <w:rFonts w:eastAsia="Times New Roman"/>
          <w:szCs w:val="21"/>
        </w:rPr>
        <w:t>m</w:t>
      </w:r>
      <w:r>
        <w:rPr>
          <w:rFonts w:hint="eastAsia"/>
          <w:szCs w:val="21"/>
        </w:rPr>
        <w:t>L</w:t>
      </w:r>
      <w:r>
        <w:rPr>
          <w:rFonts w:ascii="宋体" w:hAnsi="宋体" w:cs="宋体"/>
          <w:szCs w:val="21"/>
        </w:rPr>
        <w:t>。</w:t>
      </w:r>
    </w:p>
    <w:p w14:paraId="57C24633">
      <w:pPr>
        <w:jc w:val="left"/>
        <w:rPr>
          <w:rFonts w:ascii="宋体" w:hAnsi="宋体" w:cs="宋体"/>
          <w:szCs w:val="21"/>
        </w:rPr>
      </w:pPr>
    </w:p>
    <w:p w14:paraId="2543D956">
      <w:pPr>
        <w:tabs>
          <w:tab w:val="left" w:pos="720"/>
        </w:tabs>
        <w:spacing w:line="320" w:lineRule="exact"/>
        <w:rPr>
          <w:rFonts w:ascii="宋体" w:hAnsi="宋体" w:cs="宋体"/>
          <w:szCs w:val="21"/>
        </w:rPr>
      </w:pPr>
      <w:r>
        <w:rPr>
          <w:rFonts w:hint="eastAsia" w:ascii="宋体" w:hAnsi="宋体" w:cs="宋体"/>
          <w:b/>
          <w:bCs/>
          <w:kern w:val="0"/>
          <w:szCs w:val="21"/>
          <w:lang w:val="en-US" w:eastAsia="zh-CN"/>
        </w:rPr>
        <w:t>10</w:t>
      </w:r>
      <w:r>
        <w:rPr>
          <w:rFonts w:hint="eastAsia" w:ascii="宋体" w:hAnsi="宋体" w:cs="宋体"/>
          <w:b/>
          <w:bCs/>
          <w:kern w:val="0"/>
          <w:szCs w:val="21"/>
        </w:rPr>
        <w:t>.2.2</w:t>
      </w:r>
      <w:r>
        <w:rPr>
          <w:rFonts w:ascii="宋体" w:hAnsi="宋体" w:cs="宋体"/>
          <w:szCs w:val="21"/>
        </w:rPr>
        <w:t>固体废物</w:t>
      </w:r>
      <w:r>
        <w:rPr>
          <w:rFonts w:hint="eastAsia" w:ascii="宋体" w:hAnsi="宋体" w:cs="宋体"/>
          <w:szCs w:val="21"/>
        </w:rPr>
        <w:t>浸出液</w:t>
      </w:r>
      <w:r>
        <w:rPr>
          <w:rFonts w:ascii="宋体" w:hAnsi="宋体" w:cs="宋体"/>
          <w:szCs w:val="21"/>
        </w:rPr>
        <w:t>中</w:t>
      </w:r>
      <w:r>
        <w:rPr>
          <w:rFonts w:hint="eastAsia" w:ascii="宋体" w:hAnsi="宋体" w:cs="宋体"/>
          <w:szCs w:val="21"/>
        </w:rPr>
        <w:t>铀-238</w:t>
      </w:r>
      <w:r>
        <w:rPr>
          <w:rFonts w:hint="eastAsia" w:ascii="宋体" w:hAnsi="宋体" w:cs="宋体"/>
          <w:szCs w:val="21"/>
          <w:lang w:eastAsia="zh-CN"/>
        </w:rPr>
        <w:t>或</w:t>
      </w:r>
      <w:r>
        <w:rPr>
          <w:rFonts w:hint="eastAsia" w:ascii="宋体" w:hAnsi="宋体" w:cs="宋体"/>
          <w:szCs w:val="21"/>
        </w:rPr>
        <w:t>钍-232活度浓度</w:t>
      </w:r>
      <w:r>
        <w:rPr>
          <w:rFonts w:hint="eastAsia" w:ascii="宋体" w:hAnsi="宋体" w:cs="宋体"/>
          <w:i/>
          <w:iCs/>
          <w:sz w:val="30"/>
          <w:szCs w:val="30"/>
        </w:rPr>
        <w:t>Ar</w:t>
      </w:r>
      <w:r>
        <w:rPr>
          <w:rFonts w:hint="eastAsia" w:ascii="宋体" w:hAnsi="宋体" w:cs="宋体"/>
          <w:i/>
          <w:iCs/>
          <w:szCs w:val="21"/>
        </w:rPr>
        <w:t>'</w:t>
      </w:r>
      <w:r>
        <w:rPr>
          <w:rFonts w:ascii="宋体" w:hAnsi="宋体" w:cs="宋体"/>
          <w:szCs w:val="21"/>
        </w:rPr>
        <w:t>（</w:t>
      </w:r>
      <w:r>
        <w:rPr>
          <w:rFonts w:hint="eastAsia" w:ascii="宋体" w:hAnsi="宋体" w:cs="宋体"/>
          <w:szCs w:val="21"/>
        </w:rPr>
        <w:t>Bq</w:t>
      </w:r>
      <w:r>
        <w:rPr>
          <w:rFonts w:eastAsia="Times New Roman"/>
          <w:szCs w:val="21"/>
        </w:rPr>
        <w:t>/</w:t>
      </w:r>
      <w:r>
        <w:rPr>
          <w:rFonts w:hint="eastAsia"/>
          <w:szCs w:val="21"/>
        </w:rPr>
        <w:t>L</w:t>
      </w:r>
      <w:r>
        <w:rPr>
          <w:rFonts w:ascii="宋体" w:hAnsi="宋体" w:cs="宋体"/>
          <w:szCs w:val="21"/>
        </w:rPr>
        <w:t>）按照公式（</w:t>
      </w:r>
      <w:r>
        <w:rPr>
          <w:rFonts w:hint="eastAsia" w:ascii="宋体" w:hAnsi="宋体" w:cs="宋体"/>
          <w:szCs w:val="21"/>
        </w:rPr>
        <w:t>7</w:t>
      </w:r>
      <w:r>
        <w:rPr>
          <w:rFonts w:ascii="宋体" w:hAnsi="宋体" w:cs="宋体"/>
          <w:szCs w:val="21"/>
        </w:rPr>
        <w:t>）进行计算。</w:t>
      </w:r>
    </w:p>
    <w:p w14:paraId="1D0C2960">
      <w:pPr>
        <w:tabs>
          <w:tab w:val="left" w:pos="720"/>
        </w:tabs>
        <w:spacing w:line="320" w:lineRule="exact"/>
        <w:rPr>
          <w:rFonts w:ascii="宋体" w:hAnsi="宋体" w:cs="宋体"/>
          <w:szCs w:val="21"/>
        </w:rPr>
      </w:pPr>
    </w:p>
    <w:p w14:paraId="4AB5D753">
      <w:pPr>
        <w:tabs>
          <w:tab w:val="left" w:pos="720"/>
        </w:tabs>
        <w:spacing w:line="320" w:lineRule="exact"/>
        <w:rPr>
          <w:rFonts w:ascii="华文行楷" w:hAnsi="华文行楷" w:eastAsia="华文行楷" w:cs="华文行楷"/>
          <w:sz w:val="30"/>
          <w:szCs w:val="30"/>
        </w:rPr>
      </w:pPr>
      <w:r>
        <w:rPr>
          <w:rFonts w:hint="eastAsia" w:ascii="宋体" w:hAnsi="宋体" w:cs="宋体"/>
          <w:i/>
          <w:iCs/>
          <w:sz w:val="30"/>
          <w:szCs w:val="30"/>
        </w:rPr>
        <w:t>Ar' = k</w:t>
      </w:r>
      <w:r>
        <w:rPr>
          <w:rFonts w:ascii="Arial" w:hAnsi="Arial" w:cs="Arial"/>
          <w:i/>
          <w:iCs/>
          <w:szCs w:val="21"/>
        </w:rPr>
        <w:t>×</w:t>
      </w:r>
      <w:r>
        <w:rPr>
          <w:rFonts w:ascii="Cambria Math" w:hAnsi="Cambria Math" w:cs="Cambria Math"/>
          <w:sz w:val="30"/>
          <w:szCs w:val="30"/>
        </w:rPr>
        <w:t>ρ</w:t>
      </w:r>
      <w:r>
        <w:rPr>
          <w:rFonts w:ascii="Arial" w:hAnsi="Arial" w:cs="Arial"/>
          <w:i/>
          <w:iCs/>
          <w:szCs w:val="21"/>
        </w:rPr>
        <w:t>×</w:t>
      </w:r>
      <w:r>
        <w:rPr>
          <w:rFonts w:hint="eastAsia" w:ascii="宋体" w:hAnsi="宋体" w:cs="宋体"/>
          <w:szCs w:val="21"/>
        </w:rPr>
        <w:t>10</w:t>
      </w:r>
      <w:r>
        <w:rPr>
          <w:rFonts w:hint="eastAsia" w:ascii="宋体" w:hAnsi="宋体" w:cs="宋体"/>
          <w:szCs w:val="21"/>
          <w:vertAlign w:val="superscript"/>
        </w:rPr>
        <w:t>-6</w:t>
      </w:r>
      <w:r>
        <w:rPr>
          <w:rFonts w:hint="eastAsia" w:ascii="宋体" w:hAnsi="宋体" w:cs="宋体"/>
          <w:szCs w:val="21"/>
          <w:vertAlign w:val="superscript"/>
          <w:lang w:val="en-US" w:eastAsia="zh-CN"/>
        </w:rPr>
        <w:t xml:space="preserve">                                                                                         </w:t>
      </w:r>
      <w:r>
        <w:rPr>
          <w:rFonts w:hint="eastAsia" w:ascii="宋体" w:hAnsi="宋体" w:cs="宋体"/>
          <w:szCs w:val="21"/>
        </w:rPr>
        <w:t>(7)</w:t>
      </w:r>
    </w:p>
    <w:p w14:paraId="3BB7BD17">
      <w:pPr>
        <w:tabs>
          <w:tab w:val="left" w:pos="720"/>
        </w:tabs>
        <w:spacing w:line="320" w:lineRule="exact"/>
        <w:rPr>
          <w:rFonts w:ascii="华文行楷" w:hAnsi="华文行楷" w:eastAsia="华文行楷" w:cs="华文行楷"/>
          <w:sz w:val="30"/>
          <w:szCs w:val="30"/>
        </w:rPr>
      </w:pPr>
    </w:p>
    <w:p w14:paraId="42483564">
      <w:pPr>
        <w:spacing w:line="311" w:lineRule="exact"/>
        <w:jc w:val="left"/>
        <w:rPr>
          <w:szCs w:val="21"/>
        </w:rPr>
      </w:pPr>
      <w:r>
        <w:rPr>
          <w:rFonts w:ascii="宋体" w:hAnsi="宋体" w:cs="宋体"/>
          <w:szCs w:val="21"/>
        </w:rPr>
        <w:t>式中：</w:t>
      </w:r>
      <w:r>
        <w:rPr>
          <w:rFonts w:hint="eastAsia" w:ascii="宋体" w:hAnsi="宋体" w:cs="宋体"/>
          <w:i/>
          <w:iCs/>
          <w:sz w:val="30"/>
          <w:szCs w:val="30"/>
        </w:rPr>
        <w:t>Ar</w:t>
      </w:r>
      <w:r>
        <w:rPr>
          <w:rFonts w:hint="eastAsia" w:ascii="宋体" w:hAnsi="宋体" w:cs="宋体"/>
          <w:i/>
          <w:iCs/>
          <w:szCs w:val="21"/>
        </w:rPr>
        <w:t>'</w:t>
      </w:r>
      <w:r>
        <w:rPr>
          <w:rFonts w:eastAsia="Times New Roman"/>
          <w:sz w:val="20"/>
          <w:szCs w:val="20"/>
        </w:rPr>
        <w:t>—</w:t>
      </w:r>
      <w:r>
        <w:rPr>
          <w:rFonts w:ascii="宋体" w:hAnsi="宋体" w:cs="宋体"/>
          <w:sz w:val="20"/>
          <w:szCs w:val="20"/>
        </w:rPr>
        <w:t>固体废物</w:t>
      </w:r>
      <w:r>
        <w:rPr>
          <w:rFonts w:hint="eastAsia" w:ascii="宋体" w:hAnsi="宋体" w:cs="宋体"/>
          <w:szCs w:val="21"/>
        </w:rPr>
        <w:t>浸出液</w:t>
      </w:r>
      <w:r>
        <w:rPr>
          <w:rFonts w:ascii="宋体" w:hAnsi="宋体" w:cs="宋体"/>
          <w:szCs w:val="21"/>
        </w:rPr>
        <w:t>中</w:t>
      </w:r>
      <w:r>
        <w:rPr>
          <w:rFonts w:hint="eastAsia" w:ascii="宋体" w:hAnsi="宋体" w:cs="宋体"/>
          <w:szCs w:val="21"/>
        </w:rPr>
        <w:t>铀-238</w:t>
      </w:r>
      <w:r>
        <w:rPr>
          <w:rFonts w:hint="eastAsia" w:ascii="宋体" w:hAnsi="宋体" w:cs="宋体"/>
          <w:szCs w:val="21"/>
          <w:lang w:eastAsia="zh-CN"/>
        </w:rPr>
        <w:t>或</w:t>
      </w:r>
      <w:r>
        <w:rPr>
          <w:rFonts w:hint="eastAsia" w:ascii="宋体" w:hAnsi="宋体" w:cs="宋体"/>
          <w:szCs w:val="21"/>
        </w:rPr>
        <w:t>钍-232活度浓度,Bq</w:t>
      </w:r>
      <w:r>
        <w:rPr>
          <w:rFonts w:eastAsia="Times New Roman"/>
          <w:szCs w:val="21"/>
        </w:rPr>
        <w:t>/</w:t>
      </w:r>
      <w:r>
        <w:rPr>
          <w:rFonts w:hint="eastAsia"/>
          <w:szCs w:val="21"/>
        </w:rPr>
        <w:t>L；</w:t>
      </w:r>
    </w:p>
    <w:p w14:paraId="604DACC4">
      <w:pPr>
        <w:ind w:firstLine="600" w:firstLineChars="200"/>
        <w:jc w:val="left"/>
        <w:rPr>
          <w:rFonts w:ascii="宋体" w:hAnsi="宋体" w:cs="宋体"/>
          <w:szCs w:val="21"/>
        </w:rPr>
      </w:pPr>
      <w:r>
        <w:rPr>
          <w:rFonts w:hint="eastAsia" w:ascii="宋体" w:hAnsi="宋体" w:cs="宋体"/>
          <w:i/>
          <w:iCs/>
          <w:sz w:val="30"/>
          <w:szCs w:val="30"/>
        </w:rPr>
        <w:t>k</w:t>
      </w:r>
      <w:r>
        <w:rPr>
          <w:rFonts w:eastAsia="Times New Roman"/>
          <w:sz w:val="20"/>
          <w:szCs w:val="20"/>
        </w:rPr>
        <w:t>—</w:t>
      </w:r>
      <w:r>
        <w:rPr>
          <w:rFonts w:hint="eastAsia"/>
          <w:sz w:val="20"/>
          <w:szCs w:val="20"/>
        </w:rPr>
        <w:t>常数</w:t>
      </w:r>
      <w:r>
        <w:rPr>
          <w:rFonts w:hint="eastAsia" w:ascii="宋体" w:hAnsi="宋体" w:cs="宋体"/>
          <w:szCs w:val="21"/>
        </w:rPr>
        <w:t>。</w:t>
      </w:r>
    </w:p>
    <w:p w14:paraId="43303962">
      <w:pPr>
        <w:jc w:val="left"/>
        <w:rPr>
          <w:rFonts w:ascii="宋体" w:hAnsi="宋体" w:cs="宋体"/>
          <w:szCs w:val="21"/>
        </w:rPr>
      </w:pPr>
    </w:p>
    <w:p w14:paraId="29D70DEE">
      <w:pPr>
        <w:tabs>
          <w:tab w:val="left" w:pos="720"/>
        </w:tabs>
        <w:spacing w:line="262" w:lineRule="exact"/>
        <w:rPr>
          <w:sz w:val="20"/>
          <w:szCs w:val="20"/>
        </w:rPr>
      </w:pPr>
      <w:r>
        <w:rPr>
          <w:rFonts w:hint="eastAsia" w:ascii="宋体" w:hAnsi="宋体" w:cs="宋体"/>
          <w:b/>
          <w:bCs/>
          <w:kern w:val="0"/>
          <w:szCs w:val="21"/>
          <w:lang w:val="en-US" w:eastAsia="zh-CN"/>
        </w:rPr>
        <w:t>10</w:t>
      </w:r>
      <w:r>
        <w:rPr>
          <w:rFonts w:hint="eastAsia" w:ascii="宋体" w:hAnsi="宋体" w:cs="宋体"/>
          <w:b/>
          <w:bCs/>
          <w:kern w:val="0"/>
          <w:szCs w:val="21"/>
        </w:rPr>
        <w:t>.3结果表示</w:t>
      </w:r>
    </w:p>
    <w:p w14:paraId="7C42436D">
      <w:pPr>
        <w:spacing w:line="119" w:lineRule="exact"/>
        <w:rPr>
          <w:sz w:val="20"/>
          <w:szCs w:val="20"/>
        </w:rPr>
      </w:pPr>
    </w:p>
    <w:p w14:paraId="688D993A">
      <w:pPr>
        <w:ind w:firstLine="420" w:firstLineChars="200"/>
        <w:jc w:val="left"/>
        <w:rPr>
          <w:rFonts w:ascii="宋体" w:hAnsi="宋体" w:cs="宋体"/>
          <w:szCs w:val="21"/>
        </w:rPr>
      </w:pPr>
      <w:r>
        <w:rPr>
          <w:rFonts w:ascii="宋体" w:hAnsi="宋体" w:cs="宋体"/>
          <w:szCs w:val="21"/>
        </w:rPr>
        <w:t>对于固体废物</w:t>
      </w:r>
      <w:r>
        <w:rPr>
          <w:rFonts w:hint="eastAsia" w:ascii="宋体" w:hAnsi="宋体" w:cs="宋体"/>
          <w:szCs w:val="21"/>
        </w:rPr>
        <w:t>和固体废物浸出液</w:t>
      </w:r>
      <w:r>
        <w:rPr>
          <w:rFonts w:ascii="宋体" w:hAnsi="宋体" w:cs="宋体"/>
          <w:szCs w:val="21"/>
        </w:rPr>
        <w:t>，测定结果</w:t>
      </w:r>
      <w:r>
        <w:rPr>
          <w:rFonts w:hint="eastAsia" w:ascii="宋体" w:hAnsi="宋体" w:cs="宋体"/>
          <w:szCs w:val="21"/>
          <w:lang w:eastAsia="zh-CN"/>
        </w:rPr>
        <w:t>小数位数与方法检出限保持一致，最多</w:t>
      </w:r>
      <w:r>
        <w:rPr>
          <w:rFonts w:ascii="宋体" w:hAnsi="宋体" w:cs="宋体"/>
          <w:szCs w:val="21"/>
        </w:rPr>
        <w:t>保留三位有效数字。</w:t>
      </w:r>
    </w:p>
    <w:p w14:paraId="28A452A9">
      <w:pPr>
        <w:ind w:firstLine="420" w:firstLineChars="200"/>
        <w:jc w:val="left"/>
        <w:rPr>
          <w:rFonts w:ascii="宋体" w:hAnsi="宋体" w:cs="宋体"/>
          <w:szCs w:val="21"/>
        </w:rPr>
      </w:pPr>
    </w:p>
    <w:p w14:paraId="2BB2924A">
      <w:pPr>
        <w:tabs>
          <w:tab w:val="left" w:pos="720"/>
        </w:tabs>
        <w:spacing w:line="262" w:lineRule="exact"/>
        <w:outlineLvl w:val="0"/>
        <w:rPr>
          <w:rFonts w:ascii="宋体" w:hAnsi="宋体" w:cs="宋体"/>
          <w:b/>
          <w:bCs/>
          <w:kern w:val="0"/>
          <w:szCs w:val="21"/>
        </w:rPr>
      </w:pPr>
      <w:r>
        <w:rPr>
          <w:rFonts w:hint="eastAsia" w:ascii="宋体" w:hAnsi="宋体" w:cs="宋体"/>
          <w:b/>
          <w:bCs/>
          <w:kern w:val="0"/>
          <w:szCs w:val="21"/>
        </w:rPr>
        <w:t>1</w:t>
      </w:r>
      <w:r>
        <w:rPr>
          <w:rFonts w:hint="eastAsia" w:ascii="宋体" w:hAnsi="宋体" w:cs="宋体"/>
          <w:b/>
          <w:bCs/>
          <w:kern w:val="0"/>
          <w:szCs w:val="21"/>
          <w:lang w:val="en-US" w:eastAsia="zh-CN"/>
        </w:rPr>
        <w:t>1</w:t>
      </w:r>
      <w:r>
        <w:rPr>
          <w:rFonts w:hint="eastAsia" w:ascii="宋体" w:hAnsi="宋体" w:cs="宋体"/>
          <w:b/>
          <w:bCs/>
          <w:kern w:val="0"/>
          <w:szCs w:val="21"/>
        </w:rPr>
        <w:t>精密度和</w:t>
      </w:r>
      <w:r>
        <w:rPr>
          <w:rFonts w:hint="eastAsia" w:ascii="宋体" w:hAnsi="宋体" w:cs="宋体"/>
          <w:b/>
          <w:bCs/>
          <w:kern w:val="0"/>
          <w:szCs w:val="21"/>
          <w:lang w:eastAsia="zh-CN"/>
        </w:rPr>
        <w:t>正</w:t>
      </w:r>
      <w:r>
        <w:rPr>
          <w:rFonts w:hint="eastAsia" w:ascii="宋体" w:hAnsi="宋体" w:cs="宋体"/>
          <w:b/>
          <w:bCs/>
          <w:kern w:val="0"/>
          <w:szCs w:val="21"/>
        </w:rPr>
        <w:t>确度</w:t>
      </w:r>
    </w:p>
    <w:p w14:paraId="2483C489">
      <w:pPr>
        <w:tabs>
          <w:tab w:val="left" w:pos="720"/>
        </w:tabs>
        <w:spacing w:line="262" w:lineRule="exact"/>
        <w:rPr>
          <w:rFonts w:ascii="宋体" w:hAnsi="宋体" w:cs="宋体"/>
          <w:b/>
          <w:bCs/>
          <w:kern w:val="0"/>
          <w:szCs w:val="21"/>
        </w:rPr>
      </w:pPr>
    </w:p>
    <w:p w14:paraId="0999DEDF">
      <w:pPr>
        <w:tabs>
          <w:tab w:val="left" w:pos="720"/>
        </w:tabs>
        <w:spacing w:line="262" w:lineRule="exact"/>
        <w:rPr>
          <w:rFonts w:ascii="宋体" w:hAnsi="宋体" w:cs="宋体"/>
          <w:b/>
          <w:bCs/>
          <w:kern w:val="0"/>
          <w:szCs w:val="21"/>
        </w:rPr>
      </w:pPr>
      <w:r>
        <w:rPr>
          <w:rFonts w:hint="eastAsia" w:ascii="宋体" w:hAnsi="宋体" w:cs="宋体"/>
          <w:b/>
          <w:bCs/>
          <w:kern w:val="0"/>
          <w:szCs w:val="21"/>
        </w:rPr>
        <w:t>1</w:t>
      </w:r>
      <w:r>
        <w:rPr>
          <w:rFonts w:hint="eastAsia" w:ascii="宋体" w:hAnsi="宋体" w:cs="宋体"/>
          <w:b/>
          <w:bCs/>
          <w:kern w:val="0"/>
          <w:szCs w:val="21"/>
          <w:lang w:val="en-US" w:eastAsia="zh-CN"/>
        </w:rPr>
        <w:t>1</w:t>
      </w:r>
      <w:r>
        <w:rPr>
          <w:rFonts w:hint="eastAsia" w:ascii="宋体" w:hAnsi="宋体" w:cs="宋体"/>
          <w:b/>
          <w:bCs/>
          <w:kern w:val="0"/>
          <w:szCs w:val="21"/>
        </w:rPr>
        <w:t>.1精密度</w:t>
      </w:r>
    </w:p>
    <w:p w14:paraId="4ABAD31D">
      <w:pPr>
        <w:spacing w:line="118" w:lineRule="exact"/>
        <w:rPr>
          <w:sz w:val="20"/>
          <w:szCs w:val="20"/>
        </w:rPr>
      </w:pPr>
    </w:p>
    <w:p w14:paraId="57C7C55F">
      <w:pPr>
        <w:spacing w:line="332" w:lineRule="exact"/>
        <w:ind w:right="181" w:firstLine="420" w:firstLineChars="200"/>
        <w:jc w:val="left"/>
        <w:rPr>
          <w:rFonts w:hint="eastAsia" w:ascii="宋体" w:hAnsi="宋体" w:eastAsia="宋体" w:cs="宋体"/>
          <w:sz w:val="21"/>
          <w:szCs w:val="21"/>
          <w:lang w:eastAsia="zh-CN"/>
        </w:rPr>
      </w:pPr>
      <w:r>
        <w:rPr>
          <w:rFonts w:hint="eastAsia" w:ascii="宋体"/>
          <w:kern w:val="0"/>
          <w:szCs w:val="21"/>
        </w:rPr>
        <w:t>六家实验室分别对</w:t>
      </w:r>
      <w:r>
        <w:rPr>
          <w:rFonts w:hint="eastAsia"/>
          <w:lang w:val="en-US" w:eastAsia="zh-CN"/>
        </w:rPr>
        <w:t>含铀68.2</w:t>
      </w:r>
      <w:r>
        <w:rPr>
          <w:rFonts w:hint="eastAsia"/>
        </w:rPr>
        <w:t xml:space="preserve"> mg/kg</w:t>
      </w:r>
      <w:r>
        <w:rPr>
          <w:rFonts w:hint="eastAsia"/>
          <w:lang w:eastAsia="zh-CN"/>
        </w:rPr>
        <w:t>的固体废物进行</w:t>
      </w:r>
      <w:r>
        <w:rPr>
          <w:rFonts w:hint="eastAsia"/>
          <w:lang w:val="en-US" w:eastAsia="zh-CN"/>
        </w:rPr>
        <w:t>6次重复测定，实验室内相对偏差</w:t>
      </w:r>
      <w:r>
        <w:rPr>
          <w:rFonts w:hint="eastAsia" w:asciiTheme="minorEastAsia" w:hAnsiTheme="minorEastAsia"/>
          <w:szCs w:val="21"/>
          <w:vertAlign w:val="baseline"/>
          <w:lang w:val="en-US" w:eastAsia="zh-CN"/>
        </w:rPr>
        <w:t>RSD为</w:t>
      </w:r>
      <w:r>
        <w:rPr>
          <w:rFonts w:hint="eastAsia"/>
        </w:rPr>
        <w:t xml:space="preserve"> </w:t>
      </w:r>
      <w:r>
        <w:rPr>
          <w:rFonts w:hint="eastAsia"/>
          <w:lang w:val="en-US" w:eastAsia="zh-CN"/>
        </w:rPr>
        <w:t>0.46%</w:t>
      </w:r>
      <w:r>
        <w:rPr>
          <w:rFonts w:hint="default" w:ascii="Times New Roman" w:hAnsi="Times New Roman" w:cs="Times New Roman"/>
          <w:lang w:val="en-US" w:eastAsia="zh-CN"/>
        </w:rPr>
        <w:t>~</w:t>
      </w:r>
      <w:r>
        <w:rPr>
          <w:rFonts w:hint="eastAsia"/>
          <w:lang w:val="en-US" w:eastAsia="zh-CN"/>
        </w:rPr>
        <w:t>4.3%，实验室间相对偏差</w:t>
      </w:r>
      <w:r>
        <w:rPr>
          <w:rFonts w:hint="eastAsia" w:asciiTheme="minorEastAsia" w:hAnsiTheme="minorEastAsia"/>
          <w:szCs w:val="21"/>
          <w:vertAlign w:val="baseline"/>
          <w:lang w:val="en-US" w:eastAsia="zh-CN"/>
        </w:rPr>
        <w:t>RSD</w:t>
      </w:r>
      <w:r>
        <w:rPr>
          <w:rFonts w:hint="eastAsia" w:ascii="宋体" w:hAnsi="宋体" w:eastAsia="宋体" w:cs="宋体"/>
          <w:szCs w:val="21"/>
          <w:vertAlign w:val="baseline"/>
          <w:lang w:val="en-US" w:eastAsia="zh-CN"/>
        </w:rPr>
        <w:t>'</w:t>
      </w:r>
      <w:r>
        <w:rPr>
          <w:rFonts w:hint="eastAsia" w:asciiTheme="minorEastAsia" w:hAnsiTheme="minorEastAsia"/>
          <w:szCs w:val="21"/>
          <w:vertAlign w:val="baseline"/>
          <w:lang w:val="en-US" w:eastAsia="zh-CN"/>
        </w:rPr>
        <w:t>为</w:t>
      </w:r>
      <w:r>
        <w:rPr>
          <w:rFonts w:hint="eastAsia"/>
        </w:rPr>
        <w:t xml:space="preserve"> </w:t>
      </w:r>
      <w:r>
        <w:rPr>
          <w:rFonts w:hint="eastAsia"/>
          <w:lang w:val="en-US" w:eastAsia="zh-CN"/>
        </w:rPr>
        <w:t>3.1%，</w:t>
      </w:r>
      <w:r>
        <w:rPr>
          <w:rFonts w:hint="eastAsia" w:ascii="宋体" w:hAnsi="宋体" w:eastAsia="宋体" w:cs="宋体"/>
          <w:sz w:val="21"/>
          <w:szCs w:val="21"/>
          <w:vertAlign w:val="baseline"/>
          <w:lang w:eastAsia="zh-CN"/>
        </w:rPr>
        <w:t>重复性限</w:t>
      </w:r>
      <w:r>
        <w:rPr>
          <w:rFonts w:hint="eastAsia" w:asciiTheme="minorEastAsia" w:hAnsiTheme="minorEastAsia"/>
          <w:szCs w:val="21"/>
          <w:vertAlign w:val="baseline"/>
          <w:lang w:val="en-US" w:eastAsia="zh-CN"/>
        </w:rPr>
        <w:t>r为4.5</w:t>
      </w:r>
      <w:r>
        <w:rPr>
          <w:rFonts w:hint="eastAsia" w:ascii="宋体" w:hAnsi="宋体" w:eastAsia="宋体" w:cs="宋体"/>
          <w:sz w:val="21"/>
          <w:szCs w:val="21"/>
        </w:rPr>
        <w:t>mg/kg</w:t>
      </w:r>
      <w:r>
        <w:rPr>
          <w:rFonts w:hint="eastAsia" w:asciiTheme="minorEastAsia" w:hAnsiTheme="minorEastAsia"/>
          <w:szCs w:val="21"/>
          <w:vertAlign w:val="baseline"/>
          <w:lang w:val="en-US" w:eastAsia="zh-CN"/>
        </w:rPr>
        <w:t>，再现性限R为</w:t>
      </w:r>
      <w:r>
        <w:rPr>
          <w:rFonts w:hint="eastAsia"/>
        </w:rPr>
        <w:t xml:space="preserve"> </w:t>
      </w:r>
      <w:r>
        <w:rPr>
          <w:rFonts w:hint="eastAsia"/>
          <w:lang w:val="en-US" w:eastAsia="zh-CN"/>
        </w:rPr>
        <w:t>7.2</w:t>
      </w:r>
      <w:r>
        <w:rPr>
          <w:rFonts w:hint="eastAsia"/>
        </w:rPr>
        <w:t xml:space="preserve"> </w:t>
      </w:r>
      <w:r>
        <w:rPr>
          <w:rFonts w:hint="eastAsia" w:ascii="宋体" w:hAnsi="宋体" w:eastAsia="宋体" w:cs="宋体"/>
          <w:sz w:val="21"/>
          <w:szCs w:val="21"/>
        </w:rPr>
        <w:t>mg/kg</w:t>
      </w:r>
      <w:r>
        <w:rPr>
          <w:rFonts w:hint="eastAsia" w:ascii="宋体" w:hAnsi="宋体" w:eastAsia="宋体" w:cs="宋体"/>
          <w:sz w:val="21"/>
          <w:szCs w:val="21"/>
          <w:lang w:eastAsia="zh-CN"/>
        </w:rPr>
        <w:t>。</w:t>
      </w:r>
    </w:p>
    <w:p w14:paraId="3B15844C">
      <w:pPr>
        <w:spacing w:line="332" w:lineRule="exact"/>
        <w:ind w:right="181" w:firstLine="420" w:firstLineChars="200"/>
        <w:jc w:val="left"/>
        <w:rPr>
          <w:rFonts w:hint="eastAsia" w:ascii="宋体" w:hAnsi="宋体" w:eastAsia="宋体" w:cs="宋体"/>
          <w:sz w:val="21"/>
          <w:szCs w:val="21"/>
          <w:lang w:eastAsia="zh-CN"/>
        </w:rPr>
      </w:pPr>
    </w:p>
    <w:p w14:paraId="04725495">
      <w:pPr>
        <w:spacing w:line="322" w:lineRule="exact"/>
        <w:ind w:right="144" w:firstLine="420" w:firstLineChars="200"/>
        <w:rPr>
          <w:rFonts w:hint="eastAsia" w:ascii="宋体" w:hAnsi="宋体" w:eastAsia="宋体" w:cs="宋体"/>
          <w:sz w:val="21"/>
          <w:szCs w:val="21"/>
          <w:lang w:eastAsia="zh-CN"/>
        </w:rPr>
      </w:pPr>
      <w:r>
        <w:rPr>
          <w:rFonts w:hint="eastAsia" w:ascii="宋体"/>
          <w:kern w:val="0"/>
          <w:szCs w:val="21"/>
        </w:rPr>
        <w:t>六家实验室分别</w:t>
      </w:r>
      <w:r>
        <w:rPr>
          <w:rFonts w:hint="eastAsia" w:ascii="宋体"/>
          <w:kern w:val="0"/>
          <w:szCs w:val="21"/>
          <w:lang w:eastAsia="zh-CN"/>
        </w:rPr>
        <w:t>对</w:t>
      </w:r>
      <w:r>
        <w:rPr>
          <w:rFonts w:hint="eastAsia"/>
          <w:lang w:val="en-US" w:eastAsia="zh-CN"/>
        </w:rPr>
        <w:t>含</w:t>
      </w:r>
      <w:r>
        <w:rPr>
          <w:rFonts w:hint="eastAsia"/>
          <w:lang w:eastAsia="zh-CN"/>
        </w:rPr>
        <w:t>钍</w:t>
      </w:r>
      <w:r>
        <w:rPr>
          <w:rFonts w:hint="eastAsia"/>
          <w:lang w:val="en-US" w:eastAsia="zh-CN"/>
        </w:rPr>
        <w:t>19.0</w:t>
      </w:r>
      <w:r>
        <w:rPr>
          <w:rFonts w:hint="eastAsia"/>
        </w:rPr>
        <w:t xml:space="preserve">mg/kg </w:t>
      </w:r>
      <w:r>
        <w:rPr>
          <w:rFonts w:hint="eastAsia"/>
          <w:lang w:eastAsia="zh-CN"/>
        </w:rPr>
        <w:t>的固体废物进行</w:t>
      </w:r>
      <w:r>
        <w:rPr>
          <w:rFonts w:hint="eastAsia"/>
          <w:lang w:val="en-US" w:eastAsia="zh-CN"/>
        </w:rPr>
        <w:t>6次重复测定，实验室内相对偏差</w:t>
      </w:r>
      <w:r>
        <w:rPr>
          <w:rFonts w:hint="eastAsia" w:asciiTheme="minorEastAsia" w:hAnsiTheme="minorEastAsia"/>
          <w:szCs w:val="21"/>
          <w:vertAlign w:val="baseline"/>
          <w:lang w:val="en-US" w:eastAsia="zh-CN"/>
        </w:rPr>
        <w:t>RSD为</w:t>
      </w:r>
      <w:r>
        <w:rPr>
          <w:rFonts w:hint="eastAsia"/>
        </w:rPr>
        <w:t xml:space="preserve"> </w:t>
      </w:r>
      <w:r>
        <w:rPr>
          <w:rFonts w:hint="eastAsia"/>
          <w:lang w:val="en-US" w:eastAsia="zh-CN"/>
        </w:rPr>
        <w:t>0.56%</w:t>
      </w:r>
      <w:r>
        <w:rPr>
          <w:rFonts w:hint="default" w:ascii="Times New Roman" w:hAnsi="Times New Roman" w:cs="Times New Roman"/>
          <w:lang w:val="en-US" w:eastAsia="zh-CN"/>
        </w:rPr>
        <w:t>~</w:t>
      </w:r>
      <w:r>
        <w:rPr>
          <w:rFonts w:hint="eastAsia" w:ascii="Times New Roman" w:hAnsi="Times New Roman" w:cs="Times New Roman"/>
          <w:lang w:val="en-US" w:eastAsia="zh-CN"/>
        </w:rPr>
        <w:t>6.1</w:t>
      </w:r>
      <w:r>
        <w:rPr>
          <w:rFonts w:hint="eastAsia"/>
          <w:lang w:val="en-US" w:eastAsia="zh-CN"/>
        </w:rPr>
        <w:t>%，实验室间相对偏差</w:t>
      </w:r>
      <w:r>
        <w:rPr>
          <w:rFonts w:hint="eastAsia" w:asciiTheme="minorEastAsia" w:hAnsiTheme="minorEastAsia"/>
          <w:szCs w:val="21"/>
          <w:vertAlign w:val="baseline"/>
          <w:lang w:val="en-US" w:eastAsia="zh-CN"/>
        </w:rPr>
        <w:t>RSD</w:t>
      </w:r>
      <w:r>
        <w:rPr>
          <w:rFonts w:hint="eastAsia" w:ascii="宋体" w:hAnsi="宋体" w:eastAsia="宋体" w:cs="宋体"/>
          <w:szCs w:val="21"/>
          <w:vertAlign w:val="baseline"/>
          <w:lang w:val="en-US" w:eastAsia="zh-CN"/>
        </w:rPr>
        <w:t>'</w:t>
      </w:r>
      <w:r>
        <w:rPr>
          <w:rFonts w:hint="eastAsia" w:asciiTheme="minorEastAsia" w:hAnsiTheme="minorEastAsia"/>
          <w:szCs w:val="21"/>
          <w:vertAlign w:val="baseline"/>
          <w:lang w:val="en-US" w:eastAsia="zh-CN"/>
        </w:rPr>
        <w:t>为</w:t>
      </w:r>
      <w:r>
        <w:rPr>
          <w:rFonts w:hint="eastAsia"/>
        </w:rPr>
        <w:t xml:space="preserve"> </w:t>
      </w:r>
      <w:r>
        <w:rPr>
          <w:rFonts w:hint="eastAsia"/>
          <w:lang w:val="en-US" w:eastAsia="zh-CN"/>
        </w:rPr>
        <w:t>6.6%，</w:t>
      </w:r>
      <w:r>
        <w:rPr>
          <w:rFonts w:hint="eastAsia" w:ascii="宋体" w:hAnsi="宋体" w:eastAsia="宋体" w:cs="宋体"/>
          <w:sz w:val="21"/>
          <w:szCs w:val="21"/>
          <w:vertAlign w:val="baseline"/>
          <w:lang w:eastAsia="zh-CN"/>
        </w:rPr>
        <w:t>重复性限</w:t>
      </w:r>
      <w:r>
        <w:rPr>
          <w:rFonts w:hint="eastAsia" w:asciiTheme="minorEastAsia" w:hAnsiTheme="minorEastAsia"/>
          <w:szCs w:val="21"/>
          <w:vertAlign w:val="baseline"/>
          <w:lang w:val="en-US" w:eastAsia="zh-CN"/>
        </w:rPr>
        <w:t>r为2.0</w:t>
      </w:r>
      <w:r>
        <w:rPr>
          <w:rFonts w:hint="eastAsia" w:ascii="宋体" w:hAnsi="宋体" w:eastAsia="宋体" w:cs="宋体"/>
          <w:sz w:val="21"/>
          <w:szCs w:val="21"/>
        </w:rPr>
        <w:t>mg/kg</w:t>
      </w:r>
      <w:r>
        <w:rPr>
          <w:rFonts w:hint="eastAsia" w:asciiTheme="minorEastAsia" w:hAnsiTheme="minorEastAsia"/>
          <w:szCs w:val="21"/>
          <w:vertAlign w:val="baseline"/>
          <w:lang w:val="en-US" w:eastAsia="zh-CN"/>
        </w:rPr>
        <w:t>，再现性限R为</w:t>
      </w:r>
      <w:r>
        <w:rPr>
          <w:rFonts w:hint="eastAsia"/>
        </w:rPr>
        <w:t xml:space="preserve"> </w:t>
      </w:r>
      <w:r>
        <w:rPr>
          <w:rFonts w:hint="eastAsia"/>
          <w:lang w:val="en-US" w:eastAsia="zh-CN"/>
        </w:rPr>
        <w:t>2.9</w:t>
      </w:r>
      <w:r>
        <w:rPr>
          <w:rFonts w:hint="eastAsia" w:ascii="宋体" w:hAnsi="宋体" w:eastAsia="宋体" w:cs="宋体"/>
          <w:sz w:val="21"/>
          <w:szCs w:val="21"/>
        </w:rPr>
        <w:t>mg/kg</w:t>
      </w:r>
      <w:r>
        <w:rPr>
          <w:rFonts w:hint="eastAsia" w:ascii="宋体" w:hAnsi="宋体" w:eastAsia="宋体" w:cs="宋体"/>
          <w:sz w:val="21"/>
          <w:szCs w:val="21"/>
          <w:lang w:eastAsia="zh-CN"/>
        </w:rPr>
        <w:t>。</w:t>
      </w:r>
    </w:p>
    <w:p w14:paraId="211D3B95">
      <w:pPr>
        <w:spacing w:line="322" w:lineRule="exact"/>
        <w:ind w:right="144" w:firstLine="420" w:firstLineChars="200"/>
        <w:rPr>
          <w:rFonts w:hint="eastAsia" w:ascii="宋体" w:hAnsi="宋体" w:eastAsia="宋体" w:cs="宋体"/>
          <w:sz w:val="21"/>
          <w:szCs w:val="21"/>
          <w:lang w:eastAsia="zh-CN"/>
        </w:rPr>
      </w:pPr>
    </w:p>
    <w:p w14:paraId="4EA6C404">
      <w:pPr>
        <w:spacing w:line="322" w:lineRule="exact"/>
        <w:ind w:right="144" w:firstLine="420" w:firstLineChars="200"/>
        <w:rPr>
          <w:rFonts w:hint="eastAsia" w:ascii="宋体" w:hAnsi="宋体" w:eastAsia="宋体" w:cs="宋体"/>
          <w:sz w:val="21"/>
          <w:szCs w:val="21"/>
          <w:lang w:eastAsia="zh-CN"/>
        </w:rPr>
      </w:pPr>
      <w:r>
        <w:rPr>
          <w:rFonts w:hint="eastAsia" w:ascii="宋体"/>
          <w:kern w:val="0"/>
          <w:szCs w:val="21"/>
        </w:rPr>
        <w:t>六家实验室分别</w:t>
      </w:r>
      <w:r>
        <w:rPr>
          <w:rFonts w:hint="eastAsia"/>
          <w:lang w:val="en-US" w:eastAsia="zh-CN"/>
        </w:rPr>
        <w:t>对含铀112</w:t>
      </w:r>
      <w:r>
        <w:rPr>
          <w:rFonts w:hint="default" w:ascii="Times New Roman" w:hAnsi="Times New Roman" w:eastAsia="宋体" w:cs="Times New Roman"/>
          <w:szCs w:val="21"/>
        </w:rPr>
        <w:t>μ</w:t>
      </w:r>
      <w:r>
        <w:rPr>
          <w:rFonts w:hint="default" w:ascii="Times New Roman" w:hAnsi="Times New Roman" w:cs="Times New Roman"/>
          <w:szCs w:val="21"/>
        </w:rPr>
        <w:t>g/L</w:t>
      </w:r>
      <w:r>
        <w:rPr>
          <w:rFonts w:hint="eastAsia"/>
          <w:lang w:eastAsia="zh-CN"/>
        </w:rPr>
        <w:t>的固体废物浸出液进行</w:t>
      </w:r>
      <w:r>
        <w:rPr>
          <w:rFonts w:hint="eastAsia"/>
          <w:lang w:val="en-US" w:eastAsia="zh-CN"/>
        </w:rPr>
        <w:t>6次重复测定，实验室内相对偏差</w:t>
      </w:r>
      <w:r>
        <w:rPr>
          <w:rFonts w:hint="eastAsia" w:asciiTheme="minorEastAsia" w:hAnsiTheme="minorEastAsia"/>
          <w:szCs w:val="21"/>
          <w:vertAlign w:val="baseline"/>
          <w:lang w:val="en-US" w:eastAsia="zh-CN"/>
        </w:rPr>
        <w:t>RSD为</w:t>
      </w:r>
      <w:r>
        <w:rPr>
          <w:rFonts w:hint="eastAsia"/>
        </w:rPr>
        <w:t xml:space="preserve"> </w:t>
      </w:r>
      <w:r>
        <w:rPr>
          <w:rFonts w:hint="eastAsia"/>
          <w:lang w:val="en-US" w:eastAsia="zh-CN"/>
        </w:rPr>
        <w:t>0.80%</w:t>
      </w:r>
      <w:r>
        <w:rPr>
          <w:rFonts w:hint="default" w:ascii="Times New Roman" w:hAnsi="Times New Roman" w:cs="Times New Roman"/>
          <w:lang w:val="en-US" w:eastAsia="zh-CN"/>
        </w:rPr>
        <w:t>~</w:t>
      </w:r>
      <w:r>
        <w:rPr>
          <w:rFonts w:hint="eastAsia" w:ascii="Times New Roman" w:hAnsi="Times New Roman" w:cs="Times New Roman"/>
          <w:lang w:val="en-US" w:eastAsia="zh-CN"/>
        </w:rPr>
        <w:t>3.9</w:t>
      </w:r>
      <w:r>
        <w:rPr>
          <w:rFonts w:hint="eastAsia"/>
          <w:lang w:val="en-US" w:eastAsia="zh-CN"/>
        </w:rPr>
        <w:t>%，实验室间相对偏差</w:t>
      </w:r>
      <w:r>
        <w:rPr>
          <w:rFonts w:hint="eastAsia" w:asciiTheme="minorEastAsia" w:hAnsiTheme="minorEastAsia"/>
          <w:szCs w:val="21"/>
          <w:vertAlign w:val="baseline"/>
          <w:lang w:val="en-US" w:eastAsia="zh-CN"/>
        </w:rPr>
        <w:t>RSD</w:t>
      </w:r>
      <w:r>
        <w:rPr>
          <w:rFonts w:hint="eastAsia" w:ascii="宋体" w:hAnsi="宋体" w:eastAsia="宋体" w:cs="宋体"/>
          <w:szCs w:val="21"/>
          <w:vertAlign w:val="baseline"/>
          <w:lang w:val="en-US" w:eastAsia="zh-CN"/>
        </w:rPr>
        <w:t>'</w:t>
      </w:r>
      <w:r>
        <w:rPr>
          <w:rFonts w:hint="eastAsia" w:asciiTheme="minorEastAsia" w:hAnsiTheme="minorEastAsia"/>
          <w:szCs w:val="21"/>
          <w:vertAlign w:val="baseline"/>
          <w:lang w:val="en-US" w:eastAsia="zh-CN"/>
        </w:rPr>
        <w:t>为</w:t>
      </w:r>
      <w:r>
        <w:rPr>
          <w:rFonts w:hint="eastAsia"/>
        </w:rPr>
        <w:t xml:space="preserve"> </w:t>
      </w:r>
      <w:r>
        <w:rPr>
          <w:rFonts w:hint="eastAsia"/>
          <w:lang w:val="en-US" w:eastAsia="zh-CN"/>
        </w:rPr>
        <w:t>4.0%，</w:t>
      </w:r>
      <w:r>
        <w:rPr>
          <w:rFonts w:hint="eastAsia" w:ascii="宋体" w:hAnsi="宋体" w:eastAsia="宋体" w:cs="宋体"/>
          <w:sz w:val="21"/>
          <w:szCs w:val="21"/>
          <w:vertAlign w:val="baseline"/>
          <w:lang w:eastAsia="zh-CN"/>
        </w:rPr>
        <w:t>重复性限</w:t>
      </w:r>
      <w:r>
        <w:rPr>
          <w:rFonts w:hint="eastAsia" w:asciiTheme="minorEastAsia" w:hAnsiTheme="minorEastAsia"/>
          <w:szCs w:val="21"/>
          <w:vertAlign w:val="baseline"/>
          <w:lang w:val="en-US" w:eastAsia="zh-CN"/>
        </w:rPr>
        <w:t>r为6.5</w:t>
      </w:r>
      <w:r>
        <w:rPr>
          <w:rFonts w:hint="eastAsia" w:ascii="宋体" w:hAnsi="宋体" w:eastAsia="宋体" w:cs="宋体"/>
          <w:sz w:val="21"/>
          <w:szCs w:val="21"/>
        </w:rPr>
        <w:t>μg/L</w:t>
      </w:r>
      <w:r>
        <w:rPr>
          <w:rFonts w:hint="eastAsia" w:asciiTheme="minorEastAsia" w:hAnsiTheme="minorEastAsia"/>
          <w:szCs w:val="21"/>
          <w:vertAlign w:val="baseline"/>
          <w:lang w:val="en-US" w:eastAsia="zh-CN"/>
        </w:rPr>
        <w:t>，再现性限R为14</w:t>
      </w:r>
      <w:r>
        <w:rPr>
          <w:rFonts w:hint="eastAsia"/>
        </w:rPr>
        <w:t xml:space="preserve"> </w:t>
      </w:r>
      <w:r>
        <w:rPr>
          <w:rFonts w:hint="eastAsia" w:ascii="宋体" w:hAnsi="宋体" w:eastAsia="宋体" w:cs="宋体"/>
          <w:sz w:val="21"/>
          <w:szCs w:val="21"/>
        </w:rPr>
        <w:t>μg/L</w:t>
      </w:r>
      <w:r>
        <w:rPr>
          <w:rFonts w:hint="eastAsia" w:ascii="宋体" w:hAnsi="宋体" w:eastAsia="宋体" w:cs="宋体"/>
          <w:sz w:val="21"/>
          <w:szCs w:val="21"/>
          <w:lang w:eastAsia="zh-CN"/>
        </w:rPr>
        <w:t>。</w:t>
      </w:r>
    </w:p>
    <w:p w14:paraId="657392D3">
      <w:pPr>
        <w:spacing w:line="322" w:lineRule="exact"/>
        <w:ind w:right="144" w:firstLine="420" w:firstLineChars="200"/>
        <w:rPr>
          <w:rFonts w:hint="eastAsia" w:ascii="宋体" w:hAnsi="宋体" w:eastAsia="宋体" w:cs="宋体"/>
          <w:sz w:val="21"/>
          <w:szCs w:val="21"/>
          <w:lang w:eastAsia="zh-CN"/>
        </w:rPr>
      </w:pPr>
    </w:p>
    <w:p w14:paraId="296CDA4A">
      <w:pPr>
        <w:spacing w:line="322" w:lineRule="exact"/>
        <w:ind w:right="144" w:firstLine="420" w:firstLineChars="200"/>
        <w:rPr>
          <w:rFonts w:hint="eastAsia" w:ascii="宋体" w:hAnsi="宋体" w:eastAsia="宋体" w:cs="宋体"/>
          <w:sz w:val="21"/>
          <w:szCs w:val="21"/>
          <w:lang w:eastAsia="zh-CN"/>
        </w:rPr>
      </w:pPr>
      <w:r>
        <w:rPr>
          <w:rFonts w:hint="eastAsia" w:ascii="宋体"/>
          <w:kern w:val="0"/>
          <w:szCs w:val="21"/>
        </w:rPr>
        <w:t>六家实验室分别</w:t>
      </w:r>
      <w:r>
        <w:rPr>
          <w:rFonts w:hint="eastAsia"/>
          <w:lang w:val="en-US" w:eastAsia="zh-CN"/>
        </w:rPr>
        <w:t>对含</w:t>
      </w:r>
      <w:r>
        <w:rPr>
          <w:rFonts w:hint="eastAsia"/>
          <w:lang w:eastAsia="zh-CN"/>
        </w:rPr>
        <w:t>钍</w:t>
      </w:r>
      <w:r>
        <w:rPr>
          <w:rFonts w:hint="eastAsia"/>
          <w:lang w:val="en-US" w:eastAsia="zh-CN"/>
        </w:rPr>
        <w:t>79.4</w:t>
      </w:r>
      <w:r>
        <w:rPr>
          <w:rFonts w:hint="default" w:ascii="Times New Roman" w:hAnsi="Times New Roman" w:eastAsia="宋体" w:cs="Times New Roman"/>
          <w:szCs w:val="21"/>
        </w:rPr>
        <w:t>μ</w:t>
      </w:r>
      <w:r>
        <w:rPr>
          <w:rFonts w:hint="default" w:ascii="Times New Roman" w:hAnsi="Times New Roman" w:cs="Times New Roman"/>
          <w:szCs w:val="21"/>
        </w:rPr>
        <w:t>g/L</w:t>
      </w:r>
      <w:r>
        <w:rPr>
          <w:rFonts w:hint="eastAsia"/>
        </w:rPr>
        <w:t xml:space="preserve"> </w:t>
      </w:r>
      <w:r>
        <w:rPr>
          <w:rFonts w:hint="eastAsia"/>
          <w:lang w:eastAsia="zh-CN"/>
        </w:rPr>
        <w:t>的固体废物浸出液进行</w:t>
      </w:r>
      <w:r>
        <w:rPr>
          <w:rFonts w:hint="eastAsia"/>
          <w:lang w:val="en-US" w:eastAsia="zh-CN"/>
        </w:rPr>
        <w:t>6次重复测定，实验室内相对偏差</w:t>
      </w:r>
      <w:r>
        <w:rPr>
          <w:rFonts w:hint="eastAsia" w:asciiTheme="minorEastAsia" w:hAnsiTheme="minorEastAsia"/>
          <w:szCs w:val="21"/>
          <w:vertAlign w:val="baseline"/>
          <w:lang w:val="en-US" w:eastAsia="zh-CN"/>
        </w:rPr>
        <w:t>RSD为</w:t>
      </w:r>
      <w:r>
        <w:rPr>
          <w:rFonts w:hint="eastAsia"/>
        </w:rPr>
        <w:t xml:space="preserve"> </w:t>
      </w:r>
      <w:r>
        <w:rPr>
          <w:rFonts w:hint="eastAsia"/>
          <w:lang w:val="en-US" w:eastAsia="zh-CN"/>
        </w:rPr>
        <w:t>1.1%</w:t>
      </w:r>
      <w:r>
        <w:rPr>
          <w:rFonts w:hint="default" w:ascii="Times New Roman" w:hAnsi="Times New Roman" w:cs="Times New Roman"/>
          <w:lang w:val="en-US" w:eastAsia="zh-CN"/>
        </w:rPr>
        <w:t>~</w:t>
      </w:r>
      <w:r>
        <w:rPr>
          <w:rFonts w:hint="eastAsia" w:ascii="Times New Roman" w:hAnsi="Times New Roman" w:cs="Times New Roman"/>
          <w:lang w:val="en-US" w:eastAsia="zh-CN"/>
        </w:rPr>
        <w:t>4.3</w:t>
      </w:r>
      <w:r>
        <w:rPr>
          <w:rFonts w:hint="eastAsia"/>
          <w:lang w:val="en-US" w:eastAsia="zh-CN"/>
        </w:rPr>
        <w:t>%，实验室间相对偏差</w:t>
      </w:r>
      <w:r>
        <w:rPr>
          <w:rFonts w:hint="eastAsia" w:asciiTheme="minorEastAsia" w:hAnsiTheme="minorEastAsia"/>
          <w:szCs w:val="21"/>
          <w:vertAlign w:val="baseline"/>
          <w:lang w:val="en-US" w:eastAsia="zh-CN"/>
        </w:rPr>
        <w:t>RSD</w:t>
      </w:r>
      <w:r>
        <w:rPr>
          <w:rFonts w:hint="eastAsia" w:ascii="宋体" w:hAnsi="宋体" w:eastAsia="宋体" w:cs="宋体"/>
          <w:szCs w:val="21"/>
          <w:vertAlign w:val="baseline"/>
          <w:lang w:val="en-US" w:eastAsia="zh-CN"/>
        </w:rPr>
        <w:t>'</w:t>
      </w:r>
      <w:r>
        <w:rPr>
          <w:rFonts w:hint="eastAsia" w:asciiTheme="minorEastAsia" w:hAnsiTheme="minorEastAsia"/>
          <w:szCs w:val="21"/>
          <w:vertAlign w:val="baseline"/>
          <w:lang w:val="en-US" w:eastAsia="zh-CN"/>
        </w:rPr>
        <w:t>为</w:t>
      </w:r>
      <w:r>
        <w:rPr>
          <w:rFonts w:hint="eastAsia"/>
        </w:rPr>
        <w:t xml:space="preserve"> </w:t>
      </w:r>
      <w:r>
        <w:rPr>
          <w:rFonts w:hint="eastAsia"/>
          <w:lang w:val="en-US" w:eastAsia="zh-CN"/>
        </w:rPr>
        <w:t>3.8%，</w:t>
      </w:r>
      <w:r>
        <w:rPr>
          <w:rFonts w:hint="eastAsia" w:ascii="宋体" w:hAnsi="宋体" w:eastAsia="宋体" w:cs="宋体"/>
          <w:sz w:val="21"/>
          <w:szCs w:val="21"/>
          <w:vertAlign w:val="baseline"/>
          <w:lang w:eastAsia="zh-CN"/>
        </w:rPr>
        <w:t>重复性限</w:t>
      </w:r>
      <w:r>
        <w:rPr>
          <w:rFonts w:hint="eastAsia" w:asciiTheme="minorEastAsia" w:hAnsiTheme="minorEastAsia"/>
          <w:szCs w:val="21"/>
          <w:vertAlign w:val="baseline"/>
          <w:lang w:val="en-US" w:eastAsia="zh-CN"/>
        </w:rPr>
        <w:t>r为4.7</w:t>
      </w:r>
      <w:r>
        <w:rPr>
          <w:rFonts w:hint="eastAsia" w:ascii="宋体" w:hAnsi="宋体" w:eastAsia="宋体" w:cs="宋体"/>
          <w:sz w:val="21"/>
          <w:szCs w:val="21"/>
        </w:rPr>
        <w:t>μg/L</w:t>
      </w:r>
      <w:r>
        <w:rPr>
          <w:rFonts w:hint="eastAsia" w:asciiTheme="minorEastAsia" w:hAnsiTheme="minorEastAsia"/>
          <w:szCs w:val="21"/>
          <w:vertAlign w:val="baseline"/>
          <w:lang w:val="en-US" w:eastAsia="zh-CN"/>
        </w:rPr>
        <w:t>，再现性限R为6.2</w:t>
      </w:r>
      <w:r>
        <w:rPr>
          <w:rFonts w:hint="eastAsia"/>
        </w:rPr>
        <w:t xml:space="preserve"> </w:t>
      </w:r>
      <w:r>
        <w:rPr>
          <w:rFonts w:hint="eastAsia" w:ascii="宋体" w:hAnsi="宋体" w:eastAsia="宋体" w:cs="宋体"/>
          <w:sz w:val="21"/>
          <w:szCs w:val="21"/>
        </w:rPr>
        <w:t>μg/L</w:t>
      </w:r>
      <w:r>
        <w:rPr>
          <w:rFonts w:hint="eastAsia" w:ascii="宋体" w:hAnsi="宋体" w:eastAsia="宋体" w:cs="宋体"/>
          <w:sz w:val="21"/>
          <w:szCs w:val="21"/>
          <w:lang w:eastAsia="zh-CN"/>
        </w:rPr>
        <w:t>。</w:t>
      </w:r>
    </w:p>
    <w:p w14:paraId="1B4716A4">
      <w:pPr>
        <w:spacing w:line="322" w:lineRule="exact"/>
        <w:ind w:left="260" w:right="144" w:firstLine="420"/>
        <w:rPr>
          <w:rFonts w:ascii="宋体" w:hAnsi="宋体" w:cs="宋体"/>
          <w:szCs w:val="21"/>
        </w:rPr>
      </w:pPr>
    </w:p>
    <w:p w14:paraId="042FF2ED">
      <w:pPr>
        <w:spacing w:line="85" w:lineRule="exact"/>
        <w:rPr>
          <w:sz w:val="20"/>
          <w:szCs w:val="20"/>
        </w:rPr>
      </w:pPr>
    </w:p>
    <w:p w14:paraId="22A25DBC">
      <w:pPr>
        <w:tabs>
          <w:tab w:val="left" w:pos="720"/>
        </w:tabs>
        <w:spacing w:line="262" w:lineRule="exact"/>
        <w:jc w:val="left"/>
        <w:rPr>
          <w:rFonts w:ascii="宋体" w:hAnsi="宋体" w:cs="宋体"/>
          <w:b/>
          <w:bCs/>
          <w:kern w:val="0"/>
          <w:sz w:val="24"/>
        </w:rPr>
      </w:pPr>
      <w:r>
        <w:rPr>
          <w:rFonts w:hint="eastAsia" w:ascii="宋体" w:hAnsi="宋体" w:cs="宋体"/>
          <w:b/>
          <w:bCs/>
          <w:kern w:val="0"/>
          <w:szCs w:val="21"/>
        </w:rPr>
        <w:t>1</w:t>
      </w:r>
      <w:r>
        <w:rPr>
          <w:rFonts w:hint="eastAsia" w:ascii="宋体" w:hAnsi="宋体" w:cs="宋体"/>
          <w:b/>
          <w:bCs/>
          <w:kern w:val="0"/>
          <w:szCs w:val="21"/>
          <w:lang w:val="en-US" w:eastAsia="zh-CN"/>
        </w:rPr>
        <w:t>1</w:t>
      </w:r>
      <w:r>
        <w:rPr>
          <w:rFonts w:hint="eastAsia" w:ascii="宋体" w:hAnsi="宋体" w:cs="宋体"/>
          <w:b/>
          <w:bCs/>
          <w:kern w:val="0"/>
          <w:szCs w:val="21"/>
        </w:rPr>
        <w:t>.2</w:t>
      </w:r>
      <w:r>
        <w:rPr>
          <w:rFonts w:hint="eastAsia" w:ascii="宋体" w:hAnsi="宋体" w:cs="宋体"/>
          <w:b/>
          <w:bCs/>
          <w:kern w:val="0"/>
          <w:szCs w:val="21"/>
          <w:lang w:eastAsia="zh-CN"/>
        </w:rPr>
        <w:t>正</w:t>
      </w:r>
      <w:r>
        <w:rPr>
          <w:rFonts w:hint="eastAsia" w:ascii="宋体" w:hAnsi="宋体" w:cs="宋体"/>
          <w:b/>
          <w:bCs/>
          <w:kern w:val="0"/>
          <w:szCs w:val="21"/>
        </w:rPr>
        <w:t>确度</w:t>
      </w:r>
    </w:p>
    <w:p w14:paraId="673D7D01">
      <w:pPr>
        <w:spacing w:line="135" w:lineRule="exact"/>
        <w:rPr>
          <w:sz w:val="20"/>
          <w:szCs w:val="20"/>
        </w:rPr>
      </w:pPr>
    </w:p>
    <w:p w14:paraId="6F667653">
      <w:pPr>
        <w:ind w:firstLine="420" w:firstLineChars="200"/>
        <w:jc w:val="left"/>
        <w:rPr>
          <w:rFonts w:hint="eastAsia" w:ascii="宋体" w:hAnsi="宋体" w:eastAsia="宋体" w:cs="宋体"/>
          <w:sz w:val="21"/>
          <w:szCs w:val="21"/>
          <w:lang w:val="en-US" w:eastAsia="zh-CN"/>
        </w:rPr>
      </w:pPr>
      <w:r>
        <w:rPr>
          <w:rFonts w:hint="eastAsia"/>
        </w:rPr>
        <w:t>六家实验室</w:t>
      </w:r>
      <w:r>
        <w:rPr>
          <w:rFonts w:hint="eastAsia" w:ascii="宋体" w:hAnsi="宋体" w:eastAsia="宋体" w:cs="宋体"/>
          <w:sz w:val="21"/>
          <w:szCs w:val="21"/>
          <w:lang w:val="en-US" w:eastAsia="zh-CN"/>
        </w:rPr>
        <w:t>分别对铀含量1.6</w:t>
      </w:r>
      <w:r>
        <w:rPr>
          <w:rFonts w:hint="eastAsia" w:ascii="宋体" w:hAnsi="宋体" w:eastAsia="宋体" w:cs="宋体"/>
          <w:sz w:val="21"/>
          <w:szCs w:val="21"/>
        </w:rPr>
        <w:t>mg/kg</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14.6</w:t>
      </w:r>
      <w:r>
        <w:rPr>
          <w:rFonts w:hint="eastAsia" w:ascii="宋体" w:hAnsi="宋体" w:eastAsia="宋体" w:cs="宋体"/>
          <w:sz w:val="21"/>
          <w:szCs w:val="21"/>
        </w:rPr>
        <w:t xml:space="preserve"> mg/kg</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536</w:t>
      </w:r>
      <w:r>
        <w:rPr>
          <w:rFonts w:hint="eastAsia" w:ascii="宋体" w:hAnsi="宋体" w:eastAsia="宋体" w:cs="宋体"/>
          <w:sz w:val="21"/>
          <w:szCs w:val="21"/>
        </w:rPr>
        <w:t xml:space="preserve"> mg/kg</w:t>
      </w:r>
      <w:r>
        <w:rPr>
          <w:rFonts w:hint="eastAsia" w:ascii="宋体" w:hAnsi="宋体" w:eastAsia="宋体" w:cs="宋体"/>
          <w:sz w:val="21"/>
          <w:szCs w:val="21"/>
          <w:lang w:eastAsia="zh-CN"/>
        </w:rPr>
        <w:t>固体废物有证标准物质进行了</w:t>
      </w:r>
      <w:r>
        <w:rPr>
          <w:rFonts w:hint="eastAsia" w:ascii="宋体" w:hAnsi="宋体" w:eastAsia="宋体" w:cs="宋体"/>
          <w:sz w:val="21"/>
          <w:szCs w:val="21"/>
          <w:lang w:val="en-US" w:eastAsia="zh-CN"/>
        </w:rPr>
        <w:t>6次重复测定，相对误差分别为0.73%</w:t>
      </w:r>
      <w:r>
        <w:rPr>
          <w:rFonts w:hint="default" w:ascii="Times New Roman" w:hAnsi="Times New Roman" w:eastAsia="宋体" w:cs="Times New Roman"/>
          <w:sz w:val="21"/>
          <w:szCs w:val="21"/>
          <w:lang w:val="en-US" w:eastAsia="zh-CN"/>
        </w:rPr>
        <w:t>~</w:t>
      </w:r>
      <w:r>
        <w:rPr>
          <w:rFonts w:hint="eastAsia" w:ascii="宋体" w:hAnsi="宋体" w:eastAsia="宋体" w:cs="宋体"/>
          <w:sz w:val="21"/>
          <w:szCs w:val="21"/>
          <w:lang w:val="en-US" w:eastAsia="zh-CN"/>
        </w:rPr>
        <w:t>1</w:t>
      </w:r>
      <w:r>
        <w:rPr>
          <w:rFonts w:hint="eastAsia" w:ascii="宋体" w:hAnsi="宋体" w:cs="宋体"/>
          <w:sz w:val="21"/>
          <w:szCs w:val="21"/>
          <w:lang w:val="en-US" w:eastAsia="zh-CN"/>
        </w:rPr>
        <w:t>1</w:t>
      </w:r>
      <w:r>
        <w:rPr>
          <w:rFonts w:hint="eastAsia" w:ascii="宋体" w:hAnsi="宋体" w:eastAsia="宋体" w:cs="宋体"/>
          <w:sz w:val="21"/>
          <w:szCs w:val="21"/>
          <w:lang w:val="en-US" w:eastAsia="zh-CN"/>
        </w:rPr>
        <w:t>%、0.57%</w:t>
      </w:r>
      <w:r>
        <w:rPr>
          <w:rFonts w:hint="default" w:ascii="Times New Roman" w:hAnsi="Times New Roman" w:eastAsia="宋体" w:cs="Times New Roman"/>
          <w:sz w:val="21"/>
          <w:szCs w:val="21"/>
          <w:lang w:val="en-US" w:eastAsia="zh-CN"/>
        </w:rPr>
        <w:t>~</w:t>
      </w:r>
      <w:r>
        <w:rPr>
          <w:rFonts w:hint="eastAsia" w:ascii="宋体" w:hAnsi="宋体" w:eastAsia="宋体" w:cs="宋体"/>
          <w:sz w:val="21"/>
          <w:szCs w:val="21"/>
          <w:lang w:val="en-US" w:eastAsia="zh-CN"/>
        </w:rPr>
        <w:t>10%</w:t>
      </w:r>
      <w:r>
        <w:rPr>
          <w:rFonts w:hint="eastAsia" w:ascii="宋体" w:hAnsi="宋体" w:eastAsia="宋体" w:cs="宋体"/>
          <w:sz w:val="21"/>
          <w:szCs w:val="21"/>
        </w:rPr>
        <w:t xml:space="preserve"> </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0.75%</w:t>
      </w:r>
      <w:r>
        <w:rPr>
          <w:rFonts w:hint="default" w:ascii="Times New Roman" w:hAnsi="Times New Roman" w:eastAsia="宋体" w:cs="Times New Roman"/>
          <w:sz w:val="21"/>
          <w:szCs w:val="21"/>
          <w:lang w:val="en-US" w:eastAsia="zh-CN"/>
        </w:rPr>
        <w:t>~</w:t>
      </w:r>
      <w:r>
        <w:rPr>
          <w:rFonts w:hint="eastAsia" w:ascii="宋体" w:hAnsi="宋体" w:eastAsia="宋体" w:cs="宋体"/>
          <w:sz w:val="21"/>
          <w:szCs w:val="21"/>
          <w:lang w:val="en-US" w:eastAsia="zh-CN"/>
        </w:rPr>
        <w:t>5.8%</w:t>
      </w:r>
      <w:r>
        <w:rPr>
          <w:rFonts w:hint="eastAsia" w:ascii="宋体" w:hAnsi="宋体" w:eastAsia="宋体" w:cs="宋体"/>
          <w:sz w:val="21"/>
          <w:szCs w:val="21"/>
        </w:rPr>
        <w:t xml:space="preserve"> </w:t>
      </w:r>
      <w:r>
        <w:rPr>
          <w:rFonts w:hint="eastAsia" w:ascii="宋体" w:hAnsi="宋体" w:eastAsia="宋体" w:cs="宋体"/>
          <w:sz w:val="21"/>
          <w:szCs w:val="21"/>
          <w:lang w:eastAsia="zh-CN"/>
        </w:rPr>
        <w:t>；相对误差最终值分别为（</w:t>
      </w:r>
      <w:r>
        <w:rPr>
          <w:rFonts w:hint="eastAsia" w:ascii="宋体" w:hAnsi="宋体" w:eastAsia="宋体" w:cs="宋体"/>
          <w:sz w:val="21"/>
          <w:szCs w:val="21"/>
          <w:lang w:val="en-US" w:eastAsia="zh-CN"/>
        </w:rPr>
        <w:t>5.</w:t>
      </w:r>
      <w:r>
        <w:rPr>
          <w:rFonts w:hint="eastAsia" w:ascii="宋体" w:hAnsi="宋体" w:cs="宋体"/>
          <w:sz w:val="21"/>
          <w:szCs w:val="21"/>
          <w:lang w:val="en-US" w:eastAsia="zh-CN"/>
        </w:rPr>
        <w:t>1</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7.0</w:t>
      </w:r>
      <w:r>
        <w:rPr>
          <w:rFonts w:hint="eastAsia" w:ascii="宋体" w:hAnsi="宋体" w:eastAsia="宋体" w:cs="宋体"/>
          <w:sz w:val="21"/>
          <w:szCs w:val="21"/>
          <w:lang w:val="en-US" w:eastAsia="zh-CN"/>
        </w:rPr>
        <w:t>）% 、（6.3±6.4）% 、（2.7±</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4.8）%。</w:t>
      </w:r>
    </w:p>
    <w:p w14:paraId="039BA0A7">
      <w:pPr>
        <w:ind w:firstLine="420" w:firstLineChars="200"/>
        <w:jc w:val="left"/>
        <w:rPr>
          <w:rFonts w:hint="eastAsia" w:ascii="宋体" w:hAnsi="宋体" w:eastAsia="宋体" w:cs="宋体"/>
          <w:sz w:val="21"/>
          <w:szCs w:val="21"/>
          <w:lang w:val="en-US" w:eastAsia="zh-CN"/>
        </w:rPr>
      </w:pPr>
      <w:r>
        <w:rPr>
          <w:rFonts w:hint="eastAsia"/>
        </w:rPr>
        <w:t>六家实验室</w:t>
      </w:r>
      <w:r>
        <w:rPr>
          <w:rFonts w:hint="eastAsia" w:asciiTheme="minorEastAsia" w:hAnsiTheme="minorEastAsia"/>
          <w:szCs w:val="21"/>
          <w:lang w:val="en-US" w:eastAsia="zh-CN"/>
        </w:rPr>
        <w:t>分别对钍含量8.4</w:t>
      </w:r>
      <w:r>
        <w:rPr>
          <w:rFonts w:hint="eastAsia" w:ascii="宋体" w:hAnsi="宋体" w:eastAsia="宋体" w:cs="宋体"/>
          <w:sz w:val="21"/>
          <w:szCs w:val="21"/>
        </w:rPr>
        <w:t>mg/kg</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79.3</w:t>
      </w:r>
      <w:r>
        <w:rPr>
          <w:rFonts w:hint="eastAsia" w:ascii="宋体" w:hAnsi="宋体" w:eastAsia="宋体" w:cs="宋体"/>
          <w:sz w:val="21"/>
          <w:szCs w:val="21"/>
        </w:rPr>
        <w:t>mg/kg</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2020</w:t>
      </w:r>
      <w:r>
        <w:rPr>
          <w:rFonts w:hint="eastAsia" w:ascii="宋体" w:hAnsi="宋体" w:eastAsia="宋体" w:cs="宋体"/>
          <w:sz w:val="21"/>
          <w:szCs w:val="21"/>
        </w:rPr>
        <w:t>mg/kg</w:t>
      </w:r>
      <w:r>
        <w:rPr>
          <w:rFonts w:hint="eastAsia" w:ascii="宋体" w:hAnsi="宋体" w:eastAsia="宋体" w:cs="宋体"/>
          <w:sz w:val="21"/>
          <w:szCs w:val="21"/>
          <w:lang w:eastAsia="zh-CN"/>
        </w:rPr>
        <w:t>固体废物有证标准物质进行了</w:t>
      </w:r>
      <w:r>
        <w:rPr>
          <w:rFonts w:hint="eastAsia" w:ascii="宋体" w:hAnsi="宋体" w:eastAsia="宋体" w:cs="宋体"/>
          <w:sz w:val="21"/>
          <w:szCs w:val="21"/>
          <w:lang w:val="en-US" w:eastAsia="zh-CN"/>
        </w:rPr>
        <w:t>6次重复测定，相对误差分别为0.12%</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4.3</w:t>
      </w:r>
      <w:r>
        <w:rPr>
          <w:rFonts w:hint="eastAsia" w:ascii="宋体" w:hAnsi="宋体" w:eastAsia="宋体" w:cs="宋体"/>
          <w:sz w:val="21"/>
          <w:szCs w:val="21"/>
          <w:lang w:val="en-US" w:eastAsia="zh-CN"/>
        </w:rPr>
        <w:t>%、0.11%</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4.9</w:t>
      </w:r>
      <w:r>
        <w:rPr>
          <w:rFonts w:hint="eastAsia" w:ascii="宋体" w:hAnsi="宋体" w:eastAsia="宋体" w:cs="宋体"/>
          <w:sz w:val="21"/>
          <w:szCs w:val="21"/>
          <w:lang w:val="en-US" w:eastAsia="zh-CN"/>
        </w:rPr>
        <w:t>%</w:t>
      </w:r>
      <w:r>
        <w:rPr>
          <w:rFonts w:hint="eastAsia" w:asciiTheme="minorEastAsia" w:hAnsiTheme="minorEastAsia"/>
          <w:szCs w:val="21"/>
        </w:rPr>
        <w:t xml:space="preserve"> </w:t>
      </w:r>
      <w:r>
        <w:rPr>
          <w:rFonts w:hint="eastAsia" w:asciiTheme="minorEastAsia" w:hAnsiTheme="minorEastAsia"/>
          <w:szCs w:val="21"/>
          <w:lang w:eastAsia="zh-CN"/>
        </w:rPr>
        <w:t>、</w:t>
      </w:r>
      <w:r>
        <w:rPr>
          <w:rFonts w:hint="eastAsia" w:asciiTheme="minorEastAsia" w:hAnsiTheme="minorEastAsia"/>
          <w:szCs w:val="21"/>
        </w:rPr>
        <w:t xml:space="preserve"> </w:t>
      </w:r>
      <w:r>
        <w:rPr>
          <w:rFonts w:hint="eastAsia" w:ascii="宋体" w:hAnsi="宋体" w:eastAsia="宋体" w:cs="宋体"/>
          <w:sz w:val="21"/>
          <w:szCs w:val="21"/>
          <w:lang w:val="en-US" w:eastAsia="zh-CN"/>
        </w:rPr>
        <w:t>0.60%</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4.4</w:t>
      </w:r>
      <w:r>
        <w:rPr>
          <w:rFonts w:hint="eastAsia" w:ascii="宋体" w:hAnsi="宋体" w:eastAsia="宋体" w:cs="宋体"/>
          <w:sz w:val="21"/>
          <w:szCs w:val="21"/>
          <w:lang w:val="en-US" w:eastAsia="zh-CN"/>
        </w:rPr>
        <w:t>%</w:t>
      </w:r>
      <w:r>
        <w:rPr>
          <w:rFonts w:hint="eastAsia" w:asciiTheme="minorEastAsia" w:hAnsiTheme="minorEastAsia"/>
          <w:szCs w:val="21"/>
        </w:rPr>
        <w:t xml:space="preserve"> </w:t>
      </w:r>
      <w:r>
        <w:rPr>
          <w:rFonts w:hint="eastAsia" w:asciiTheme="minorEastAsia" w:hAnsiTheme="minorEastAsia"/>
          <w:szCs w:val="21"/>
          <w:lang w:eastAsia="zh-CN"/>
        </w:rPr>
        <w:t>；相对误差最终值分别为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2.3±3.0）% 、（2.8±4.2）% 、（2.1±</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2.8）%。</w:t>
      </w:r>
    </w:p>
    <w:p w14:paraId="7E4ACAD2">
      <w:pPr>
        <w:ind w:firstLine="420" w:firstLineChars="200"/>
        <w:jc w:val="left"/>
        <w:rPr>
          <w:rFonts w:hint="eastAsia" w:ascii="宋体" w:hAnsi="宋体" w:eastAsia="宋体" w:cs="宋体"/>
          <w:sz w:val="21"/>
          <w:szCs w:val="21"/>
          <w:lang w:val="en-US" w:eastAsia="zh-CN"/>
        </w:rPr>
      </w:pPr>
    </w:p>
    <w:p w14:paraId="385B800A">
      <w:pPr>
        <w:ind w:firstLine="420" w:firstLineChars="200"/>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rPr>
        <w:t>六家实验室</w:t>
      </w:r>
      <w:r>
        <w:rPr>
          <w:rFonts w:hint="eastAsia" w:ascii="Times New Roman" w:hAnsi="Times New Roman" w:eastAsia="宋体" w:cs="Times New Roman"/>
          <w:lang w:eastAsia="zh-CN"/>
        </w:rPr>
        <w:t>分别</w:t>
      </w:r>
      <w:r>
        <w:rPr>
          <w:rFonts w:hint="eastAsia" w:ascii="Times New Roman" w:hAnsi="Times New Roman" w:eastAsia="宋体" w:cs="Times New Roman"/>
          <w:lang w:val="en-US" w:eastAsia="zh-CN"/>
        </w:rPr>
        <w:t>对含铀112</w:t>
      </w:r>
      <w:r>
        <w:rPr>
          <w:rFonts w:hint="eastAsia" w:ascii="Times New Roman" w:hAnsi="Times New Roman" w:eastAsia="宋体" w:cs="Times New Roman"/>
        </w:rPr>
        <w:t>μg/L</w:t>
      </w:r>
      <w:r>
        <w:rPr>
          <w:rFonts w:hint="eastAsia" w:ascii="Times New Roman" w:hAnsi="Times New Roman" w:eastAsia="宋体" w:cs="Times New Roman"/>
          <w:lang w:eastAsia="zh-CN"/>
        </w:rPr>
        <w:t>的固体废物浸出液分别加标</w:t>
      </w:r>
      <w:r>
        <w:rPr>
          <w:rFonts w:hint="eastAsia" w:ascii="Times New Roman" w:hAnsi="Times New Roman" w:eastAsia="宋体" w:cs="Times New Roman"/>
          <w:lang w:val="en-US" w:eastAsia="zh-CN"/>
        </w:rPr>
        <w:t>20</w:t>
      </w:r>
      <w:r>
        <w:rPr>
          <w:rFonts w:hint="eastAsia" w:ascii="Times New Roman" w:hAnsi="Times New Roman" w:eastAsia="宋体" w:cs="Times New Roman"/>
        </w:rPr>
        <w:t>μg/L</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100</w:t>
      </w:r>
      <w:r>
        <w:rPr>
          <w:rFonts w:hint="eastAsia" w:ascii="Times New Roman" w:hAnsi="Times New Roman" w:eastAsia="宋体" w:cs="Times New Roman"/>
        </w:rPr>
        <w:t>μg/L</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500</w:t>
      </w:r>
      <w:r>
        <w:rPr>
          <w:rFonts w:hint="eastAsia" w:ascii="Times New Roman" w:hAnsi="Times New Roman" w:eastAsia="宋体" w:cs="Times New Roman"/>
        </w:rPr>
        <w:t>μg/L</w:t>
      </w:r>
      <w:r>
        <w:rPr>
          <w:rFonts w:hint="eastAsia" w:ascii="Times New Roman" w:hAnsi="Times New Roman" w:eastAsia="宋体" w:cs="Times New Roman"/>
          <w:lang w:eastAsia="zh-CN"/>
        </w:rPr>
        <w:t>进行了</w:t>
      </w:r>
      <w:r>
        <w:rPr>
          <w:rFonts w:hint="eastAsia" w:ascii="Times New Roman" w:hAnsi="Times New Roman" w:eastAsia="宋体" w:cs="Times New Roman"/>
          <w:lang w:val="en-US" w:eastAsia="zh-CN"/>
        </w:rPr>
        <w:t>6次重复加标分析测定，加标回收率分别为90.0%</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105%、95.9%</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105%、98.6%</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106%，加标回收率</w:t>
      </w:r>
      <w:r>
        <w:rPr>
          <w:rFonts w:hint="eastAsia" w:ascii="Times New Roman" w:hAnsi="Times New Roman" w:eastAsia="宋体" w:cs="Times New Roman"/>
          <w:sz w:val="21"/>
          <w:szCs w:val="21"/>
          <w:lang w:val="en-US" w:eastAsia="zh-CN"/>
        </w:rPr>
        <w:t>最终值分别为（96.8</w:t>
      </w:r>
      <w:r>
        <w:rPr>
          <w:rFonts w:hint="default" w:ascii="Trebuchet MS" w:hAnsi="Trebuchet MS" w:eastAsia="宋体" w:cs="Trebuchet MS"/>
          <w:sz w:val="21"/>
          <w:szCs w:val="21"/>
          <w:lang w:val="en-US" w:eastAsia="zh-CN"/>
        </w:rPr>
        <w:t>±</w:t>
      </w:r>
      <w:r>
        <w:rPr>
          <w:rFonts w:hint="eastAsia" w:ascii="Times New Roman" w:hAnsi="Times New Roman" w:eastAsia="宋体" w:cs="Times New Roman"/>
          <w:sz w:val="21"/>
          <w:szCs w:val="21"/>
          <w:lang w:val="en-US" w:eastAsia="zh-CN"/>
        </w:rPr>
        <w:t>12.4）%、（100</w:t>
      </w:r>
      <w:r>
        <w:rPr>
          <w:rFonts w:hint="default" w:ascii="Trebuchet MS" w:hAnsi="Trebuchet MS" w:eastAsia="宋体" w:cs="Trebuchet MS"/>
          <w:sz w:val="21"/>
          <w:szCs w:val="21"/>
          <w:lang w:val="en-US" w:eastAsia="zh-CN"/>
        </w:rPr>
        <w:t>±</w:t>
      </w:r>
      <w:r>
        <w:rPr>
          <w:rFonts w:hint="eastAsia" w:ascii="Times New Roman" w:hAnsi="Times New Roman" w:eastAsia="宋体" w:cs="Times New Roman"/>
          <w:sz w:val="21"/>
          <w:szCs w:val="21"/>
          <w:lang w:val="en-US" w:eastAsia="zh-CN"/>
        </w:rPr>
        <w:t>7.28）%、（101</w:t>
      </w:r>
      <w:r>
        <w:rPr>
          <w:rFonts w:hint="default" w:ascii="Trebuchet MS" w:hAnsi="Trebuchet MS" w:eastAsia="宋体" w:cs="Trebuchet MS"/>
          <w:sz w:val="21"/>
          <w:szCs w:val="21"/>
          <w:lang w:val="en-US" w:eastAsia="zh-CN"/>
        </w:rPr>
        <w:t>±</w:t>
      </w:r>
      <w:r>
        <w:rPr>
          <w:rFonts w:hint="eastAsia" w:ascii="Times New Roman" w:hAnsi="Times New Roman" w:eastAsia="宋体" w:cs="Times New Roman"/>
          <w:sz w:val="21"/>
          <w:szCs w:val="21"/>
          <w:lang w:val="en-US" w:eastAsia="zh-CN"/>
        </w:rPr>
        <w:t>5.20）%。</w:t>
      </w:r>
    </w:p>
    <w:p w14:paraId="7FAC67C3">
      <w:pPr>
        <w:ind w:firstLine="420" w:firstLineChars="200"/>
        <w:jc w:val="left"/>
        <w:rPr>
          <w:rFonts w:hint="eastAsia" w:ascii="Times New Roman" w:hAnsi="Times New Roman" w:eastAsia="宋体" w:cs="Times New Roman"/>
          <w:sz w:val="21"/>
          <w:szCs w:val="21"/>
          <w:lang w:val="en-US" w:eastAsia="zh-CN"/>
        </w:rPr>
      </w:pPr>
    </w:p>
    <w:p w14:paraId="79FDAF9E">
      <w:pPr>
        <w:ind w:firstLine="420" w:firstLineChars="200"/>
        <w:jc w:val="left"/>
        <w:rPr>
          <w:rFonts w:hint="eastAsia" w:ascii="Times New Roman" w:hAnsi="Times New Roman" w:eastAsia="宋体" w:cs="Times New Roman"/>
          <w:lang w:val="en-US" w:eastAsia="zh-CN"/>
        </w:rPr>
      </w:pPr>
      <w:r>
        <w:rPr>
          <w:rFonts w:hint="eastAsia" w:ascii="Times New Roman" w:hAnsi="Times New Roman" w:eastAsia="宋体" w:cs="Times New Roman"/>
        </w:rPr>
        <w:t>六家实验室</w:t>
      </w:r>
      <w:r>
        <w:rPr>
          <w:rFonts w:hint="eastAsia" w:ascii="Times New Roman" w:hAnsi="Times New Roman" w:eastAsia="宋体" w:cs="Times New Roman"/>
          <w:lang w:eastAsia="zh-CN"/>
        </w:rPr>
        <w:t>分别</w:t>
      </w:r>
      <w:r>
        <w:rPr>
          <w:rFonts w:hint="eastAsia" w:ascii="Times New Roman" w:hAnsi="Times New Roman" w:eastAsia="宋体" w:cs="Times New Roman"/>
          <w:lang w:val="en-US" w:eastAsia="zh-CN"/>
        </w:rPr>
        <w:t>对含钍79.4</w:t>
      </w:r>
      <w:r>
        <w:rPr>
          <w:rFonts w:hint="eastAsia" w:ascii="Times New Roman" w:hAnsi="Times New Roman" w:eastAsia="宋体" w:cs="Times New Roman"/>
        </w:rPr>
        <w:t>μg/L</w:t>
      </w:r>
      <w:r>
        <w:rPr>
          <w:rFonts w:hint="eastAsia" w:ascii="Times New Roman" w:hAnsi="Times New Roman" w:eastAsia="宋体" w:cs="Times New Roman"/>
          <w:lang w:eastAsia="zh-CN"/>
        </w:rPr>
        <w:t>的固体废物浸出液分别加标</w:t>
      </w:r>
      <w:r>
        <w:rPr>
          <w:rFonts w:hint="eastAsia" w:ascii="Times New Roman" w:hAnsi="Times New Roman" w:eastAsia="宋体" w:cs="Times New Roman"/>
          <w:lang w:val="en-US" w:eastAsia="zh-CN"/>
        </w:rPr>
        <w:t>20</w:t>
      </w:r>
      <w:r>
        <w:rPr>
          <w:rFonts w:hint="eastAsia" w:ascii="Times New Roman" w:hAnsi="Times New Roman" w:eastAsia="宋体" w:cs="Times New Roman"/>
        </w:rPr>
        <w:t>μg/L</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100</w:t>
      </w:r>
      <w:r>
        <w:rPr>
          <w:rFonts w:hint="eastAsia" w:ascii="Times New Roman" w:hAnsi="Times New Roman" w:eastAsia="宋体" w:cs="Times New Roman"/>
        </w:rPr>
        <w:t>μg/L</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500</w:t>
      </w:r>
      <w:r>
        <w:rPr>
          <w:rFonts w:hint="eastAsia" w:ascii="Times New Roman" w:hAnsi="Times New Roman" w:eastAsia="宋体" w:cs="Times New Roman"/>
        </w:rPr>
        <w:t>μg/L</w:t>
      </w:r>
      <w:r>
        <w:rPr>
          <w:rFonts w:hint="eastAsia" w:ascii="Times New Roman" w:hAnsi="Times New Roman" w:eastAsia="宋体" w:cs="Times New Roman"/>
          <w:lang w:eastAsia="zh-CN"/>
        </w:rPr>
        <w:t>进行了</w:t>
      </w:r>
      <w:r>
        <w:rPr>
          <w:rFonts w:hint="eastAsia" w:ascii="Times New Roman" w:hAnsi="Times New Roman" w:eastAsia="宋体" w:cs="Times New Roman"/>
          <w:lang w:val="en-US" w:eastAsia="zh-CN"/>
        </w:rPr>
        <w:t>6次重复加标分析测定，加标回收率分别为93.5%</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109%、96.3%</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107%、100%</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111%，加标回收率最终值分别为（101</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13.5）%、（104</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8.25）%、（104</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7.87）%。</w:t>
      </w:r>
    </w:p>
    <w:p w14:paraId="546B5B25">
      <w:pPr>
        <w:ind w:firstLine="420" w:firstLineChars="200"/>
        <w:jc w:val="left"/>
        <w:rPr>
          <w:rFonts w:hint="eastAsia" w:ascii="Times New Roman" w:hAnsi="Times New Roman" w:eastAsia="宋体" w:cs="Times New Roman"/>
          <w:lang w:val="en-US" w:eastAsia="zh-CN"/>
        </w:rPr>
      </w:pPr>
    </w:p>
    <w:p w14:paraId="3CBC430A">
      <w:pPr>
        <w:spacing w:line="332" w:lineRule="exact"/>
        <w:ind w:right="144" w:firstLine="420" w:firstLineChars="200"/>
        <w:rPr>
          <w:rFonts w:ascii="宋体"/>
          <w:kern w:val="0"/>
          <w:szCs w:val="21"/>
        </w:rPr>
      </w:pPr>
      <w:r>
        <w:rPr>
          <w:rFonts w:hint="eastAsia" w:ascii="宋体"/>
          <w:kern w:val="0"/>
          <w:szCs w:val="21"/>
        </w:rPr>
        <w:t>各元素的精密度和</w:t>
      </w:r>
      <w:r>
        <w:rPr>
          <w:rFonts w:hint="eastAsia" w:ascii="宋体"/>
          <w:kern w:val="0"/>
          <w:szCs w:val="21"/>
          <w:lang w:eastAsia="zh-CN"/>
        </w:rPr>
        <w:t>正</w:t>
      </w:r>
      <w:r>
        <w:rPr>
          <w:rFonts w:hint="eastAsia" w:ascii="宋体"/>
          <w:kern w:val="0"/>
          <w:szCs w:val="21"/>
        </w:rPr>
        <w:t>确度结果详见附录 B。</w:t>
      </w:r>
    </w:p>
    <w:p w14:paraId="0EE8D3C6">
      <w:pPr>
        <w:spacing w:line="332" w:lineRule="exact"/>
        <w:ind w:right="144" w:firstLine="420" w:firstLineChars="200"/>
        <w:rPr>
          <w:rFonts w:ascii="宋体"/>
          <w:kern w:val="0"/>
          <w:szCs w:val="21"/>
        </w:rPr>
      </w:pPr>
    </w:p>
    <w:p w14:paraId="55ED4EB7">
      <w:pPr>
        <w:tabs>
          <w:tab w:val="left" w:pos="720"/>
        </w:tabs>
        <w:spacing w:line="262" w:lineRule="exact"/>
        <w:outlineLvl w:val="0"/>
        <w:rPr>
          <w:rFonts w:ascii="宋体" w:hAnsi="宋体" w:cs="宋体"/>
          <w:b/>
          <w:bCs/>
          <w:kern w:val="0"/>
          <w:szCs w:val="21"/>
        </w:rPr>
      </w:pPr>
      <w:r>
        <w:rPr>
          <w:rFonts w:hint="eastAsia" w:ascii="宋体" w:hAnsi="宋体" w:cs="宋体"/>
          <w:b/>
          <w:bCs/>
          <w:kern w:val="0"/>
          <w:szCs w:val="21"/>
        </w:rPr>
        <w:t>1</w:t>
      </w:r>
      <w:r>
        <w:rPr>
          <w:rFonts w:hint="eastAsia" w:ascii="宋体" w:hAnsi="宋体" w:cs="宋体"/>
          <w:b/>
          <w:bCs/>
          <w:kern w:val="0"/>
          <w:szCs w:val="21"/>
          <w:lang w:val="en-US" w:eastAsia="zh-CN"/>
        </w:rPr>
        <w:t>2</w:t>
      </w:r>
      <w:r>
        <w:rPr>
          <w:rFonts w:hint="eastAsia" w:ascii="宋体" w:hAnsi="宋体" w:cs="宋体"/>
          <w:b/>
          <w:bCs/>
          <w:kern w:val="0"/>
          <w:szCs w:val="21"/>
        </w:rPr>
        <w:t xml:space="preserve"> 质量保证和质量控制</w:t>
      </w:r>
    </w:p>
    <w:p w14:paraId="333439BF">
      <w:pPr>
        <w:spacing w:line="277" w:lineRule="exact"/>
        <w:rPr>
          <w:sz w:val="20"/>
          <w:szCs w:val="20"/>
        </w:rPr>
      </w:pPr>
    </w:p>
    <w:p w14:paraId="6D8B38EC">
      <w:pPr>
        <w:spacing w:line="332" w:lineRule="exact"/>
        <w:ind w:right="264"/>
        <w:rPr>
          <w:sz w:val="20"/>
          <w:szCs w:val="20"/>
        </w:rPr>
      </w:pPr>
      <w:r>
        <w:rPr>
          <w:rFonts w:hint="eastAsia" w:ascii="宋体" w:hAnsi="宋体" w:cs="宋体"/>
          <w:szCs w:val="21"/>
        </w:rPr>
        <w:t>1</w:t>
      </w:r>
      <w:r>
        <w:rPr>
          <w:rFonts w:hint="eastAsia" w:ascii="宋体" w:hAnsi="宋体" w:cs="宋体"/>
          <w:szCs w:val="21"/>
          <w:lang w:val="en-US" w:eastAsia="zh-CN"/>
        </w:rPr>
        <w:t>2</w:t>
      </w:r>
      <w:r>
        <w:rPr>
          <w:rFonts w:hint="eastAsia" w:ascii="宋体" w:hAnsi="宋体" w:cs="宋体"/>
          <w:szCs w:val="21"/>
        </w:rPr>
        <w:t>.1</w:t>
      </w:r>
      <w:r>
        <w:rPr>
          <w:rFonts w:hint="eastAsia" w:ascii="宋体"/>
          <w:kern w:val="0"/>
          <w:szCs w:val="21"/>
        </w:rPr>
        <w:t>每批样品至少应分析1个空白试样，空白值应低于方法检出限。</w:t>
      </w:r>
    </w:p>
    <w:p w14:paraId="3E80D994">
      <w:pPr>
        <w:spacing w:line="87" w:lineRule="exact"/>
        <w:rPr>
          <w:sz w:val="20"/>
          <w:szCs w:val="20"/>
        </w:rPr>
      </w:pPr>
    </w:p>
    <w:p w14:paraId="1BBA9497">
      <w:pPr>
        <w:tabs>
          <w:tab w:val="left" w:pos="820"/>
        </w:tabs>
        <w:spacing w:line="244" w:lineRule="exact"/>
        <w:rPr>
          <w:rFonts w:ascii="宋体"/>
          <w:kern w:val="0"/>
          <w:szCs w:val="21"/>
        </w:rPr>
      </w:pPr>
      <w:r>
        <w:rPr>
          <w:rFonts w:hint="eastAsia" w:ascii="宋体" w:hAnsi="宋体" w:cs="宋体"/>
          <w:sz w:val="20"/>
          <w:szCs w:val="20"/>
        </w:rPr>
        <w:t>1</w:t>
      </w:r>
      <w:r>
        <w:rPr>
          <w:rFonts w:hint="eastAsia" w:ascii="宋体" w:hAnsi="宋体" w:cs="宋体"/>
          <w:sz w:val="20"/>
          <w:szCs w:val="20"/>
          <w:lang w:val="en-US" w:eastAsia="zh-CN"/>
        </w:rPr>
        <w:t>2</w:t>
      </w:r>
      <w:r>
        <w:rPr>
          <w:rFonts w:hint="eastAsia" w:ascii="宋体" w:hAnsi="宋体" w:cs="宋体"/>
          <w:sz w:val="20"/>
          <w:szCs w:val="20"/>
        </w:rPr>
        <w:t>.2</w:t>
      </w:r>
      <w:r>
        <w:rPr>
          <w:rFonts w:hint="eastAsia" w:ascii="宋体"/>
          <w:kern w:val="0"/>
          <w:szCs w:val="21"/>
        </w:rPr>
        <w:t>每次分析应建立校准曲线，曲线的相关系数应大于 0.999。</w:t>
      </w:r>
    </w:p>
    <w:p w14:paraId="4DFC49BA">
      <w:pPr>
        <w:spacing w:line="332" w:lineRule="exact"/>
        <w:ind w:right="144"/>
        <w:rPr>
          <w:rFonts w:ascii="宋体"/>
          <w:kern w:val="0"/>
          <w:szCs w:val="21"/>
        </w:rPr>
      </w:pPr>
      <w:r>
        <w:rPr>
          <w:rFonts w:hint="eastAsia" w:ascii="宋体" w:hAnsi="宋体" w:cs="宋体"/>
          <w:szCs w:val="21"/>
        </w:rPr>
        <w:t>1</w:t>
      </w:r>
      <w:r>
        <w:rPr>
          <w:rFonts w:hint="eastAsia" w:ascii="宋体" w:hAnsi="宋体" w:cs="宋体"/>
          <w:szCs w:val="21"/>
          <w:lang w:val="en-US" w:eastAsia="zh-CN"/>
        </w:rPr>
        <w:t>2</w:t>
      </w:r>
      <w:r>
        <w:rPr>
          <w:rFonts w:hint="eastAsia" w:ascii="宋体" w:hAnsi="宋体" w:cs="宋体"/>
          <w:szCs w:val="21"/>
        </w:rPr>
        <w:t>.3</w:t>
      </w:r>
      <w:r>
        <w:rPr>
          <w:rFonts w:hint="eastAsia" w:ascii="宋体"/>
          <w:kern w:val="0"/>
          <w:szCs w:val="21"/>
        </w:rPr>
        <w:t>每分析20个样品，应分析一次校准曲线中间浓度点，其测定结果与实际浓度值相对偏差应≤10%，否则应查找原因或重新建立校准曲线。每批样品分析完毕后，应进行一次曲线最低点的分析，其测定结果与实际浓度值相对偏差应≤30%。</w:t>
      </w:r>
    </w:p>
    <w:p w14:paraId="3B3154A3">
      <w:pPr>
        <w:spacing w:line="332" w:lineRule="exact"/>
        <w:ind w:right="144"/>
        <w:rPr>
          <w:rFonts w:ascii="宋体"/>
          <w:kern w:val="0"/>
          <w:szCs w:val="21"/>
        </w:rPr>
      </w:pPr>
      <w:r>
        <w:rPr>
          <w:rFonts w:hint="eastAsia" w:ascii="宋体"/>
          <w:kern w:val="0"/>
          <w:szCs w:val="21"/>
        </w:rPr>
        <w:t>1</w:t>
      </w:r>
      <w:r>
        <w:rPr>
          <w:rFonts w:hint="eastAsia" w:ascii="宋体"/>
          <w:kern w:val="0"/>
          <w:szCs w:val="21"/>
          <w:lang w:val="en-US" w:eastAsia="zh-CN"/>
        </w:rPr>
        <w:t>2</w:t>
      </w:r>
      <w:r>
        <w:rPr>
          <w:rFonts w:hint="eastAsia" w:ascii="宋体"/>
          <w:kern w:val="0"/>
          <w:szCs w:val="21"/>
        </w:rPr>
        <w:t>.4在每次分析时，试样中内标元素的响应值应介于校准曲线响应值的70%～130%，否则说明仪器发生漂移或有干扰产生，应查找原因后重新分析。如果是基体干扰，需要进行稀释后测定，如果是由于样品中含有内标元素，需要更换内标或提高内标元素浓度。</w:t>
      </w:r>
    </w:p>
    <w:p w14:paraId="7B8F7369">
      <w:pPr>
        <w:spacing w:line="332" w:lineRule="exact"/>
        <w:ind w:right="144"/>
        <w:rPr>
          <w:rFonts w:ascii="宋体"/>
          <w:kern w:val="0"/>
          <w:szCs w:val="21"/>
        </w:rPr>
      </w:pPr>
      <w:r>
        <w:rPr>
          <w:rFonts w:hint="eastAsia" w:ascii="宋体"/>
          <w:kern w:val="0"/>
          <w:szCs w:val="21"/>
        </w:rPr>
        <w:t>1</w:t>
      </w:r>
      <w:r>
        <w:rPr>
          <w:rFonts w:hint="eastAsia" w:ascii="宋体"/>
          <w:kern w:val="0"/>
          <w:szCs w:val="21"/>
          <w:lang w:val="en-US" w:eastAsia="zh-CN"/>
        </w:rPr>
        <w:t>2</w:t>
      </w:r>
      <w:r>
        <w:rPr>
          <w:rFonts w:hint="eastAsia" w:ascii="宋体"/>
          <w:kern w:val="0"/>
          <w:szCs w:val="21"/>
        </w:rPr>
        <w:t>.5在每批样品中，应至少分析一个试剂空白（2%硝酸）加标，其加标回收率应在 80%～120%之间。或者使用有证标准样品代替加标，其测定结果应在标准值要求的误差范围内。</w:t>
      </w:r>
    </w:p>
    <w:p w14:paraId="7DAD3C2B">
      <w:pPr>
        <w:spacing w:line="332" w:lineRule="exact"/>
        <w:ind w:right="144"/>
        <w:rPr>
          <w:rFonts w:ascii="宋体"/>
          <w:kern w:val="0"/>
          <w:szCs w:val="21"/>
        </w:rPr>
      </w:pPr>
      <w:r>
        <w:rPr>
          <w:rFonts w:hint="eastAsia" w:ascii="宋体"/>
          <w:kern w:val="0"/>
          <w:szCs w:val="21"/>
        </w:rPr>
        <w:t>1</w:t>
      </w:r>
      <w:r>
        <w:rPr>
          <w:rFonts w:hint="eastAsia" w:ascii="宋体"/>
          <w:kern w:val="0"/>
          <w:szCs w:val="21"/>
          <w:lang w:val="en-US" w:eastAsia="zh-CN"/>
        </w:rPr>
        <w:t>2</w:t>
      </w:r>
      <w:r>
        <w:rPr>
          <w:rFonts w:hint="eastAsia" w:ascii="宋体"/>
          <w:kern w:val="0"/>
          <w:szCs w:val="21"/>
        </w:rPr>
        <w:t>.6每批样品应随机抽取10%～20%试样，编成密码样进行重复分析，重复分析结果的相对偏差允许限详见附录C。重复性检查合格率应大于90%。</w:t>
      </w:r>
    </w:p>
    <w:p w14:paraId="7463F22E">
      <w:pPr>
        <w:spacing w:line="332" w:lineRule="exact"/>
        <w:ind w:right="144"/>
        <w:rPr>
          <w:rFonts w:ascii="宋体"/>
          <w:kern w:val="0"/>
          <w:szCs w:val="21"/>
        </w:rPr>
      </w:pPr>
    </w:p>
    <w:p w14:paraId="56B12632">
      <w:pPr>
        <w:tabs>
          <w:tab w:val="left" w:pos="720"/>
        </w:tabs>
        <w:spacing w:line="262" w:lineRule="exact"/>
        <w:outlineLvl w:val="0"/>
        <w:rPr>
          <w:rFonts w:ascii="宋体" w:hAnsi="宋体" w:cs="宋体"/>
          <w:b/>
          <w:bCs/>
          <w:kern w:val="0"/>
          <w:szCs w:val="21"/>
        </w:rPr>
      </w:pPr>
      <w:r>
        <w:rPr>
          <w:rFonts w:hint="eastAsia" w:ascii="宋体" w:hAnsi="宋体" w:cs="宋体"/>
          <w:b/>
          <w:bCs/>
          <w:kern w:val="0"/>
          <w:szCs w:val="21"/>
        </w:rPr>
        <w:t>1</w:t>
      </w:r>
      <w:r>
        <w:rPr>
          <w:rFonts w:hint="eastAsia" w:ascii="宋体" w:hAnsi="宋体" w:cs="宋体"/>
          <w:b/>
          <w:bCs/>
          <w:kern w:val="0"/>
          <w:szCs w:val="21"/>
          <w:lang w:val="en-US" w:eastAsia="zh-CN"/>
        </w:rPr>
        <w:t xml:space="preserve">3 </w:t>
      </w:r>
      <w:r>
        <w:rPr>
          <w:rFonts w:hint="eastAsia" w:ascii="宋体" w:hAnsi="宋体" w:cs="宋体"/>
          <w:b/>
          <w:bCs/>
          <w:kern w:val="0"/>
          <w:szCs w:val="21"/>
        </w:rPr>
        <w:t>废物处理</w:t>
      </w:r>
    </w:p>
    <w:p w14:paraId="3E985FC0">
      <w:pPr>
        <w:spacing w:line="276" w:lineRule="exact"/>
        <w:rPr>
          <w:sz w:val="20"/>
          <w:szCs w:val="20"/>
        </w:rPr>
      </w:pPr>
    </w:p>
    <w:p w14:paraId="31A50D2A">
      <w:pPr>
        <w:spacing w:line="240" w:lineRule="exact"/>
        <w:ind w:firstLine="420" w:firstLineChars="200"/>
        <w:jc w:val="center"/>
        <w:rPr>
          <w:rFonts w:ascii="宋体" w:eastAsia="宋体"/>
          <w:szCs w:val="21"/>
        </w:rPr>
      </w:pPr>
      <w:r>
        <w:rPr>
          <w:rFonts w:ascii="宋体" w:hAnsi="宋体" w:cs="宋体"/>
          <w:szCs w:val="21"/>
        </w:rPr>
        <w:t>实验过程中产生的废液和废物，应置于密闭容器中分类保管，委托有资质的单位进行处理。</w:t>
      </w:r>
      <w:r>
        <w:br w:type="page"/>
      </w:r>
      <w:bookmarkStart w:id="42" w:name="_Toc103189504"/>
      <w:r>
        <w:rPr>
          <w:rFonts w:hint="eastAsia" w:ascii="宋体" w:eastAsia="宋体"/>
          <w:szCs w:val="21"/>
        </w:rPr>
        <w:t>附录A</w:t>
      </w:r>
    </w:p>
    <w:p w14:paraId="6AD3CEA8">
      <w:pPr>
        <w:pStyle w:val="32"/>
        <w:numPr>
          <w:ilvl w:val="0"/>
          <w:numId w:val="0"/>
        </w:numPr>
        <w:spacing w:beforeLines="0" w:afterLines="0"/>
        <w:jc w:val="center"/>
        <w:outlineLvl w:val="0"/>
        <w:rPr>
          <w:rFonts w:ascii="宋体" w:eastAsia="宋体"/>
          <w:szCs w:val="21"/>
        </w:rPr>
      </w:pPr>
      <w:r>
        <w:rPr>
          <w:rFonts w:hint="eastAsia" w:ascii="宋体" w:eastAsia="宋体"/>
          <w:szCs w:val="21"/>
        </w:rPr>
        <w:t>（规范性）</w:t>
      </w:r>
      <w:bookmarkEnd w:id="42"/>
    </w:p>
    <w:p w14:paraId="652A350D">
      <w:pPr>
        <w:pStyle w:val="32"/>
        <w:numPr>
          <w:ilvl w:val="0"/>
          <w:numId w:val="0"/>
        </w:numPr>
        <w:spacing w:beforeLines="0" w:afterLines="0"/>
        <w:jc w:val="center"/>
        <w:outlineLvl w:val="0"/>
        <w:rPr>
          <w:rFonts w:hint="eastAsia" w:ascii="Times New Roman" w:eastAsia="宋体" w:cs="Times New Roman"/>
          <w:lang w:eastAsia="zh-CN"/>
        </w:rPr>
      </w:pPr>
      <w:r>
        <w:rPr>
          <w:rFonts w:hint="eastAsia" w:ascii="宋体" w:eastAsia="宋体"/>
          <w:szCs w:val="21"/>
        </w:rPr>
        <w:t>方法的</w:t>
      </w:r>
      <w:r>
        <w:rPr>
          <w:rFonts w:hint="eastAsia" w:ascii="Times New Roman" w:hAnsi="Times New Roman" w:eastAsia="宋体" w:cs="Times New Roman"/>
          <w:lang w:eastAsia="zh-CN"/>
        </w:rPr>
        <w:t>检出限和测定下限</w:t>
      </w:r>
      <w:r>
        <w:rPr>
          <w:rFonts w:hint="eastAsia" w:ascii="Times New Roman" w:eastAsia="宋体" w:cs="Times New Roman"/>
          <w:lang w:eastAsia="zh-CN"/>
        </w:rPr>
        <w:t>表</w:t>
      </w:r>
    </w:p>
    <w:p w14:paraId="47705D7F">
      <w:pPr>
        <w:pStyle w:val="25"/>
        <w:rPr>
          <w:rFonts w:hint="eastAsia"/>
          <w:lang w:eastAsia="zh-CN"/>
        </w:rPr>
      </w:pPr>
    </w:p>
    <w:p w14:paraId="77668EE8">
      <w:pPr>
        <w:pStyle w:val="25"/>
        <w:rPr>
          <w:rFonts w:hint="eastAsia" w:eastAsia="宋体"/>
          <w:lang w:val="en-US" w:eastAsia="zh-CN"/>
        </w:rPr>
      </w:pPr>
      <w:r>
        <w:rPr>
          <w:rFonts w:hint="eastAsia" w:ascii="宋体" w:eastAsia="宋体"/>
          <w:szCs w:val="21"/>
        </w:rPr>
        <w:t>方法的</w:t>
      </w:r>
      <w:r>
        <w:rPr>
          <w:rFonts w:hint="eastAsia" w:ascii="Times New Roman" w:hAnsi="Times New Roman" w:eastAsia="宋体" w:cs="Times New Roman"/>
          <w:lang w:eastAsia="zh-CN"/>
        </w:rPr>
        <w:t>检出限和测定下限</w:t>
      </w:r>
      <w:r>
        <w:rPr>
          <w:rFonts w:hint="eastAsia" w:ascii="Times New Roman" w:cs="Times New Roman"/>
          <w:lang w:eastAsia="zh-CN"/>
        </w:rPr>
        <w:t>见表</w:t>
      </w:r>
      <w:r>
        <w:rPr>
          <w:rFonts w:hint="eastAsia"/>
          <w:szCs w:val="21"/>
        </w:rPr>
        <w:t>A</w:t>
      </w:r>
      <w:r>
        <w:rPr>
          <w:rFonts w:hint="eastAsia"/>
          <w:szCs w:val="21"/>
          <w:lang w:eastAsia="zh-CN"/>
        </w:rPr>
        <w:t>。</w:t>
      </w:r>
    </w:p>
    <w:p w14:paraId="6FDF741B">
      <w:pPr>
        <w:pStyle w:val="25"/>
      </w:pPr>
    </w:p>
    <w:p w14:paraId="6D08254A">
      <w:pPr>
        <w:pStyle w:val="25"/>
        <w:jc w:val="center"/>
        <w:rPr>
          <w:rFonts w:hAnsi="宋体" w:cs="宋体"/>
          <w:szCs w:val="21"/>
        </w:rPr>
      </w:pPr>
      <w:r>
        <w:rPr>
          <w:rFonts w:hint="eastAsia"/>
          <w:szCs w:val="21"/>
        </w:rPr>
        <w:t xml:space="preserve">表A </w:t>
      </w:r>
      <w:r>
        <w:rPr>
          <w:rFonts w:hAnsi="宋体" w:cs="宋体"/>
          <w:szCs w:val="21"/>
        </w:rPr>
        <w:t>方法</w:t>
      </w:r>
      <w:r>
        <w:rPr>
          <w:rFonts w:hint="eastAsia" w:ascii="Times New Roman" w:hAnsi="Times New Roman" w:eastAsia="宋体" w:cs="Times New Roman"/>
          <w:lang w:eastAsia="zh-CN"/>
        </w:rPr>
        <w:t>检出限和测定下限</w:t>
      </w:r>
      <w:r>
        <w:rPr>
          <w:rFonts w:hint="eastAsia" w:ascii="Times New Roman" w:cs="Times New Roman"/>
          <w:lang w:eastAsia="zh-CN"/>
        </w:rPr>
        <w:t>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1766"/>
        <w:gridCol w:w="2642"/>
        <w:gridCol w:w="1904"/>
        <w:gridCol w:w="2456"/>
      </w:tblGrid>
      <w:tr w14:paraId="23D0F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vMerge w:val="restart"/>
            <w:vAlign w:val="center"/>
          </w:tcPr>
          <w:p w14:paraId="72390B17">
            <w:pPr>
              <w:pStyle w:val="25"/>
              <w:ind w:left="0" w:leftChars="0" w:firstLine="0" w:firstLineChars="0"/>
              <w:jc w:val="center"/>
              <w:rPr>
                <w:rFonts w:hAnsi="宋体" w:cs="宋体"/>
                <w:szCs w:val="21"/>
              </w:rPr>
            </w:pPr>
            <w:r>
              <w:rPr>
                <w:rFonts w:hint="eastAsia" w:hAnsi="宋体" w:cs="宋体"/>
                <w:szCs w:val="21"/>
              </w:rPr>
              <w:t>元素</w:t>
            </w:r>
          </w:p>
        </w:tc>
        <w:tc>
          <w:tcPr>
            <w:tcW w:w="4408" w:type="dxa"/>
            <w:gridSpan w:val="2"/>
            <w:vAlign w:val="center"/>
          </w:tcPr>
          <w:p w14:paraId="14186598">
            <w:pPr>
              <w:pStyle w:val="25"/>
              <w:jc w:val="center"/>
              <w:rPr>
                <w:rFonts w:hAnsi="宋体" w:cs="宋体"/>
                <w:szCs w:val="21"/>
              </w:rPr>
            </w:pPr>
            <w:r>
              <w:rPr>
                <w:rFonts w:hint="eastAsia" w:ascii="Times New Roman" w:hAnsi="Times New Roman" w:eastAsia="宋体" w:cs="Times New Roman"/>
                <w:szCs w:val="18"/>
                <w:lang w:eastAsia="zh-CN"/>
              </w:rPr>
              <w:t>检出限</w:t>
            </w:r>
          </w:p>
        </w:tc>
        <w:tc>
          <w:tcPr>
            <w:tcW w:w="4360" w:type="dxa"/>
            <w:gridSpan w:val="2"/>
            <w:vAlign w:val="center"/>
          </w:tcPr>
          <w:p w14:paraId="4AD92F1A">
            <w:pPr>
              <w:pStyle w:val="25"/>
              <w:jc w:val="center"/>
              <w:rPr>
                <w:rFonts w:hint="eastAsia" w:ascii="Times New Roman" w:hAnsi="Times New Roman" w:eastAsia="宋体" w:cs="Times New Roman"/>
                <w:szCs w:val="18"/>
                <w:lang w:eastAsia="zh-CN"/>
              </w:rPr>
            </w:pPr>
            <w:r>
              <w:rPr>
                <w:rFonts w:hint="eastAsia" w:ascii="Times New Roman" w:hAnsi="Times New Roman" w:eastAsia="宋体" w:cs="Times New Roman"/>
                <w:szCs w:val="18"/>
                <w:lang w:eastAsia="zh-CN"/>
              </w:rPr>
              <w:t>测定下限</w:t>
            </w:r>
          </w:p>
        </w:tc>
      </w:tr>
      <w:tr w14:paraId="0D189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vMerge w:val="continue"/>
            <w:vAlign w:val="center"/>
          </w:tcPr>
          <w:p w14:paraId="7620692C">
            <w:pPr>
              <w:pStyle w:val="25"/>
              <w:jc w:val="center"/>
              <w:rPr>
                <w:rFonts w:hAnsi="宋体" w:cs="宋体"/>
                <w:szCs w:val="21"/>
              </w:rPr>
            </w:pPr>
          </w:p>
        </w:tc>
        <w:tc>
          <w:tcPr>
            <w:tcW w:w="1766" w:type="dxa"/>
            <w:vAlign w:val="center"/>
          </w:tcPr>
          <w:p w14:paraId="30E2D7B1">
            <w:pPr>
              <w:pStyle w:val="25"/>
              <w:ind w:left="0" w:leftChars="0" w:firstLine="0" w:firstLineChars="0"/>
              <w:jc w:val="center"/>
              <w:rPr>
                <w:rFonts w:hAnsi="宋体" w:cs="宋体"/>
                <w:szCs w:val="21"/>
              </w:rPr>
            </w:pPr>
            <w:r>
              <w:rPr>
                <w:rFonts w:hint="eastAsia" w:hAnsi="宋体" w:cs="宋体"/>
                <w:w w:val="99"/>
                <w:szCs w:val="21"/>
              </w:rPr>
              <w:t>固体废物</w:t>
            </w:r>
            <w:r>
              <w:rPr>
                <w:rFonts w:hint="eastAsia" w:hAnsi="宋体" w:cs="宋体"/>
                <w:szCs w:val="21"/>
              </w:rPr>
              <w:t>mg/kg</w:t>
            </w:r>
          </w:p>
        </w:tc>
        <w:tc>
          <w:tcPr>
            <w:tcW w:w="2642" w:type="dxa"/>
            <w:vAlign w:val="center"/>
          </w:tcPr>
          <w:p w14:paraId="7888F613">
            <w:pPr>
              <w:pStyle w:val="25"/>
              <w:ind w:firstLine="413"/>
              <w:jc w:val="center"/>
              <w:rPr>
                <w:rFonts w:hint="eastAsia" w:hAnsi="宋体" w:cs="宋体"/>
                <w:w w:val="99"/>
                <w:szCs w:val="21"/>
              </w:rPr>
            </w:pPr>
            <w:r>
              <w:rPr>
                <w:rFonts w:hint="eastAsia" w:hAnsi="宋体" w:cs="宋体"/>
                <w:w w:val="99"/>
                <w:szCs w:val="21"/>
              </w:rPr>
              <w:t>固体废物浸出液</w:t>
            </w:r>
            <w:r>
              <w:rPr>
                <w:rFonts w:hint="eastAsia" w:hAnsi="宋体" w:cs="宋体"/>
                <w:szCs w:val="21"/>
              </w:rPr>
              <w:t>µg/L</w:t>
            </w:r>
          </w:p>
        </w:tc>
        <w:tc>
          <w:tcPr>
            <w:tcW w:w="1904" w:type="dxa"/>
            <w:vAlign w:val="center"/>
          </w:tcPr>
          <w:p w14:paraId="641913F1">
            <w:pPr>
              <w:pStyle w:val="25"/>
              <w:ind w:left="0" w:leftChars="0" w:firstLine="0" w:firstLineChars="0"/>
              <w:jc w:val="center"/>
              <w:rPr>
                <w:rFonts w:hAnsi="宋体" w:cs="宋体"/>
                <w:szCs w:val="21"/>
              </w:rPr>
            </w:pPr>
            <w:r>
              <w:rPr>
                <w:rFonts w:hint="eastAsia" w:hAnsi="宋体" w:cs="宋体"/>
                <w:w w:val="99"/>
                <w:szCs w:val="21"/>
              </w:rPr>
              <w:t>固体废物</w:t>
            </w:r>
            <w:r>
              <w:rPr>
                <w:rFonts w:hint="eastAsia" w:hAnsi="宋体" w:cs="宋体"/>
                <w:szCs w:val="21"/>
              </w:rPr>
              <w:t>mg/kg</w:t>
            </w:r>
          </w:p>
        </w:tc>
        <w:tc>
          <w:tcPr>
            <w:tcW w:w="2456" w:type="dxa"/>
            <w:vAlign w:val="center"/>
          </w:tcPr>
          <w:p w14:paraId="4F8D392B">
            <w:pPr>
              <w:pStyle w:val="25"/>
              <w:ind w:left="0" w:leftChars="0" w:firstLine="0" w:firstLineChars="0"/>
              <w:jc w:val="center"/>
              <w:rPr>
                <w:rFonts w:hint="eastAsia" w:hAnsi="宋体" w:cs="宋体"/>
                <w:w w:val="99"/>
                <w:szCs w:val="21"/>
              </w:rPr>
            </w:pPr>
            <w:r>
              <w:rPr>
                <w:rFonts w:hint="eastAsia" w:hAnsi="宋体" w:cs="宋体"/>
                <w:w w:val="99"/>
                <w:szCs w:val="21"/>
              </w:rPr>
              <w:t>固体废物浸出液</w:t>
            </w:r>
            <w:r>
              <w:rPr>
                <w:rFonts w:hint="eastAsia" w:hAnsi="宋体" w:cs="宋体"/>
                <w:szCs w:val="21"/>
              </w:rPr>
              <w:t>µg/L</w:t>
            </w:r>
          </w:p>
        </w:tc>
      </w:tr>
      <w:tr w14:paraId="550CA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vAlign w:val="center"/>
          </w:tcPr>
          <w:p w14:paraId="36FECBC5">
            <w:pPr>
              <w:pStyle w:val="25"/>
              <w:ind w:left="0" w:leftChars="0" w:firstLine="0" w:firstLineChars="0"/>
              <w:jc w:val="center"/>
              <w:rPr>
                <w:rFonts w:hint="eastAsia" w:hAnsi="宋体" w:eastAsia="宋体" w:cs="宋体"/>
                <w:szCs w:val="21"/>
                <w:lang w:eastAsia="zh-CN"/>
              </w:rPr>
            </w:pPr>
            <w:r>
              <w:rPr>
                <w:rFonts w:hint="eastAsia" w:hAnsi="宋体" w:cs="宋体"/>
                <w:szCs w:val="21"/>
                <w:lang w:eastAsia="zh-CN"/>
              </w:rPr>
              <w:t>铀</w:t>
            </w:r>
          </w:p>
        </w:tc>
        <w:tc>
          <w:tcPr>
            <w:tcW w:w="1766" w:type="dxa"/>
            <w:vAlign w:val="center"/>
          </w:tcPr>
          <w:p w14:paraId="6286FB74">
            <w:pPr>
              <w:pStyle w:val="25"/>
              <w:ind w:left="0" w:leftChars="0" w:firstLine="0" w:firstLineChars="0"/>
              <w:jc w:val="center"/>
              <w:rPr>
                <w:rFonts w:hint="default" w:hAnsi="宋体" w:eastAsia="宋体" w:cs="宋体"/>
                <w:w w:val="99"/>
                <w:szCs w:val="21"/>
                <w:lang w:val="en-US" w:eastAsia="zh-CN"/>
              </w:rPr>
            </w:pPr>
            <w:r>
              <w:rPr>
                <w:rFonts w:hint="eastAsia" w:hAnsi="宋体" w:cs="宋体"/>
                <w:w w:val="99"/>
                <w:szCs w:val="21"/>
                <w:lang w:val="en-US" w:eastAsia="zh-CN"/>
              </w:rPr>
              <w:t>0.008</w:t>
            </w:r>
          </w:p>
        </w:tc>
        <w:tc>
          <w:tcPr>
            <w:tcW w:w="2642" w:type="dxa"/>
            <w:vAlign w:val="center"/>
          </w:tcPr>
          <w:p w14:paraId="38A5C7B7">
            <w:pPr>
              <w:pStyle w:val="25"/>
              <w:ind w:firstLine="413"/>
              <w:jc w:val="center"/>
              <w:rPr>
                <w:rFonts w:hint="default" w:hAnsi="宋体" w:eastAsia="宋体" w:cs="宋体"/>
                <w:w w:val="99"/>
                <w:szCs w:val="21"/>
                <w:lang w:val="en-US" w:eastAsia="zh-CN"/>
              </w:rPr>
            </w:pPr>
            <w:r>
              <w:rPr>
                <w:rFonts w:hint="eastAsia" w:hAnsi="宋体" w:cs="宋体"/>
                <w:w w:val="99"/>
                <w:szCs w:val="21"/>
                <w:lang w:val="en-US" w:eastAsia="zh-CN"/>
              </w:rPr>
              <w:t>0.009</w:t>
            </w:r>
          </w:p>
        </w:tc>
        <w:tc>
          <w:tcPr>
            <w:tcW w:w="1904" w:type="dxa"/>
            <w:vAlign w:val="center"/>
          </w:tcPr>
          <w:p w14:paraId="40B2A603">
            <w:pPr>
              <w:pStyle w:val="25"/>
              <w:ind w:left="0" w:leftChars="0" w:firstLine="0" w:firstLineChars="0"/>
              <w:jc w:val="center"/>
              <w:rPr>
                <w:rFonts w:hint="default" w:hAnsi="宋体" w:eastAsia="宋体" w:cs="宋体"/>
                <w:w w:val="99"/>
                <w:szCs w:val="21"/>
                <w:lang w:val="en-US" w:eastAsia="zh-CN"/>
              </w:rPr>
            </w:pPr>
            <w:r>
              <w:rPr>
                <w:rFonts w:hint="eastAsia" w:hAnsi="宋体" w:cs="宋体"/>
                <w:w w:val="99"/>
                <w:szCs w:val="21"/>
                <w:lang w:val="en-US" w:eastAsia="zh-CN"/>
              </w:rPr>
              <w:t>0.03</w:t>
            </w:r>
          </w:p>
        </w:tc>
        <w:tc>
          <w:tcPr>
            <w:tcW w:w="2456" w:type="dxa"/>
            <w:vAlign w:val="center"/>
          </w:tcPr>
          <w:p w14:paraId="6B5D1D52">
            <w:pPr>
              <w:pStyle w:val="25"/>
              <w:ind w:left="0" w:leftChars="0" w:firstLine="0" w:firstLineChars="0"/>
              <w:jc w:val="center"/>
              <w:rPr>
                <w:rFonts w:hint="default" w:hAnsi="宋体" w:eastAsia="宋体" w:cs="宋体"/>
                <w:w w:val="99"/>
                <w:szCs w:val="21"/>
                <w:lang w:val="en-US" w:eastAsia="zh-CN"/>
              </w:rPr>
            </w:pPr>
            <w:r>
              <w:rPr>
                <w:rFonts w:hint="eastAsia" w:hAnsi="宋体" w:cs="宋体"/>
                <w:w w:val="99"/>
                <w:szCs w:val="21"/>
                <w:lang w:val="en-US" w:eastAsia="zh-CN"/>
              </w:rPr>
              <w:t>0.03</w:t>
            </w:r>
          </w:p>
        </w:tc>
      </w:tr>
      <w:tr w14:paraId="6082C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3" w:type="dxa"/>
            <w:vAlign w:val="center"/>
          </w:tcPr>
          <w:p w14:paraId="1955D077">
            <w:pPr>
              <w:pStyle w:val="25"/>
              <w:ind w:left="0" w:leftChars="0" w:firstLine="0" w:firstLineChars="0"/>
              <w:jc w:val="center"/>
              <w:rPr>
                <w:rFonts w:hint="eastAsia" w:hAnsi="宋体" w:eastAsia="宋体" w:cs="宋体"/>
                <w:szCs w:val="21"/>
                <w:lang w:eastAsia="zh-CN"/>
              </w:rPr>
            </w:pPr>
            <w:r>
              <w:rPr>
                <w:rFonts w:hint="eastAsia" w:hAnsi="宋体" w:cs="宋体"/>
                <w:szCs w:val="21"/>
                <w:lang w:eastAsia="zh-CN"/>
              </w:rPr>
              <w:t>钍</w:t>
            </w:r>
          </w:p>
        </w:tc>
        <w:tc>
          <w:tcPr>
            <w:tcW w:w="1766" w:type="dxa"/>
            <w:vAlign w:val="center"/>
          </w:tcPr>
          <w:p w14:paraId="7BB58326">
            <w:pPr>
              <w:pStyle w:val="25"/>
              <w:ind w:left="0" w:leftChars="0" w:firstLine="0" w:firstLineChars="0"/>
              <w:jc w:val="center"/>
              <w:rPr>
                <w:rFonts w:hint="default" w:hAnsi="宋体" w:eastAsia="宋体" w:cs="宋体"/>
                <w:w w:val="99"/>
                <w:szCs w:val="21"/>
                <w:lang w:val="en-US" w:eastAsia="zh-CN"/>
              </w:rPr>
            </w:pPr>
            <w:r>
              <w:rPr>
                <w:rFonts w:hint="eastAsia" w:hAnsi="宋体" w:cs="宋体"/>
                <w:w w:val="99"/>
                <w:szCs w:val="21"/>
                <w:lang w:val="en-US" w:eastAsia="zh-CN"/>
              </w:rPr>
              <w:t>0.2</w:t>
            </w:r>
          </w:p>
        </w:tc>
        <w:tc>
          <w:tcPr>
            <w:tcW w:w="2642" w:type="dxa"/>
            <w:vAlign w:val="center"/>
          </w:tcPr>
          <w:p w14:paraId="5520C3D9">
            <w:pPr>
              <w:pStyle w:val="25"/>
              <w:ind w:firstLine="413"/>
              <w:jc w:val="center"/>
              <w:rPr>
                <w:rFonts w:hint="default" w:hAnsi="宋体" w:eastAsia="宋体" w:cs="宋体"/>
                <w:w w:val="99"/>
                <w:szCs w:val="21"/>
                <w:lang w:val="en-US" w:eastAsia="zh-CN"/>
              </w:rPr>
            </w:pPr>
            <w:r>
              <w:rPr>
                <w:rFonts w:hint="eastAsia" w:hAnsi="宋体" w:cs="宋体"/>
                <w:w w:val="99"/>
                <w:szCs w:val="21"/>
                <w:lang w:val="en-US" w:eastAsia="zh-CN"/>
              </w:rPr>
              <w:t>0.2</w:t>
            </w:r>
          </w:p>
        </w:tc>
        <w:tc>
          <w:tcPr>
            <w:tcW w:w="1904" w:type="dxa"/>
            <w:vAlign w:val="center"/>
          </w:tcPr>
          <w:p w14:paraId="66BF51F5">
            <w:pPr>
              <w:pStyle w:val="25"/>
              <w:ind w:left="0" w:leftChars="0" w:firstLine="0" w:firstLineChars="0"/>
              <w:jc w:val="center"/>
              <w:rPr>
                <w:rFonts w:hint="default" w:hAnsi="宋体" w:eastAsia="宋体" w:cs="宋体"/>
                <w:w w:val="99"/>
                <w:szCs w:val="21"/>
                <w:lang w:val="en-US" w:eastAsia="zh-CN"/>
              </w:rPr>
            </w:pPr>
            <w:r>
              <w:rPr>
                <w:rFonts w:hint="eastAsia" w:hAnsi="宋体" w:cs="宋体"/>
                <w:w w:val="99"/>
                <w:szCs w:val="21"/>
                <w:lang w:val="en-US" w:eastAsia="zh-CN"/>
              </w:rPr>
              <w:t>0.6</w:t>
            </w:r>
          </w:p>
        </w:tc>
        <w:tc>
          <w:tcPr>
            <w:tcW w:w="2456" w:type="dxa"/>
            <w:vAlign w:val="center"/>
          </w:tcPr>
          <w:p w14:paraId="7CCF3DE2">
            <w:pPr>
              <w:pStyle w:val="25"/>
              <w:ind w:left="0" w:leftChars="0" w:firstLine="0" w:firstLineChars="0"/>
              <w:jc w:val="center"/>
              <w:rPr>
                <w:rFonts w:hint="default" w:hAnsi="宋体" w:eastAsia="宋体" w:cs="宋体"/>
                <w:w w:val="99"/>
                <w:szCs w:val="21"/>
                <w:lang w:val="en-US" w:eastAsia="zh-CN"/>
              </w:rPr>
            </w:pPr>
            <w:r>
              <w:rPr>
                <w:rFonts w:hint="eastAsia" w:hAnsi="宋体" w:cs="宋体"/>
                <w:w w:val="99"/>
                <w:szCs w:val="21"/>
                <w:lang w:val="en-US" w:eastAsia="zh-CN"/>
              </w:rPr>
              <w:t>0.6</w:t>
            </w:r>
          </w:p>
        </w:tc>
      </w:tr>
    </w:tbl>
    <w:p w14:paraId="16B215F1">
      <w:pPr>
        <w:pStyle w:val="25"/>
        <w:jc w:val="center"/>
        <w:rPr>
          <w:rFonts w:hAnsi="宋体" w:cs="宋体"/>
          <w:szCs w:val="21"/>
        </w:rPr>
      </w:pPr>
    </w:p>
    <w:p w14:paraId="7D13BCEC">
      <w:pPr>
        <w:pStyle w:val="25"/>
      </w:pPr>
    </w:p>
    <w:p w14:paraId="73E2EFA8">
      <w:pPr>
        <w:pStyle w:val="32"/>
        <w:numPr>
          <w:ilvl w:val="0"/>
          <w:numId w:val="0"/>
        </w:numPr>
        <w:spacing w:beforeLines="0" w:afterLines="0"/>
        <w:jc w:val="center"/>
        <w:outlineLvl w:val="0"/>
        <w:rPr>
          <w:rFonts w:ascii="宋体" w:eastAsia="宋体"/>
          <w:szCs w:val="21"/>
        </w:rPr>
      </w:pPr>
      <w:r>
        <w:br w:type="page"/>
      </w:r>
      <w:bookmarkStart w:id="43" w:name="_Toc103189505"/>
      <w:r>
        <w:rPr>
          <w:rFonts w:hint="eastAsia" w:ascii="宋体" w:eastAsia="宋体"/>
          <w:szCs w:val="21"/>
        </w:rPr>
        <w:t>附录B</w:t>
      </w:r>
    </w:p>
    <w:p w14:paraId="5F364840">
      <w:pPr>
        <w:pStyle w:val="32"/>
        <w:numPr>
          <w:ilvl w:val="0"/>
          <w:numId w:val="0"/>
        </w:numPr>
        <w:spacing w:beforeLines="0" w:afterLines="0"/>
        <w:jc w:val="center"/>
        <w:outlineLvl w:val="0"/>
        <w:rPr>
          <w:rFonts w:ascii="宋体" w:eastAsia="宋体"/>
          <w:szCs w:val="21"/>
        </w:rPr>
      </w:pPr>
      <w:r>
        <w:rPr>
          <w:rFonts w:hint="eastAsia" w:ascii="宋体" w:eastAsia="宋体"/>
          <w:szCs w:val="21"/>
        </w:rPr>
        <w:t>（资料性）</w:t>
      </w:r>
    </w:p>
    <w:p w14:paraId="6872A3D0">
      <w:pPr>
        <w:pStyle w:val="25"/>
        <w:ind w:firstLine="0" w:firstLineChars="0"/>
        <w:jc w:val="center"/>
        <w:outlineLvl w:val="0"/>
        <w:rPr>
          <w:rFonts w:hint="eastAsia"/>
          <w:szCs w:val="21"/>
          <w:lang w:eastAsia="zh-CN"/>
        </w:rPr>
      </w:pPr>
      <w:r>
        <w:rPr>
          <w:rFonts w:hint="eastAsia"/>
          <w:szCs w:val="21"/>
        </w:rPr>
        <w:t>方法的精密度和</w:t>
      </w:r>
      <w:r>
        <w:rPr>
          <w:rFonts w:hint="eastAsia"/>
          <w:szCs w:val="21"/>
          <w:lang w:eastAsia="zh-CN"/>
        </w:rPr>
        <w:t>正</w:t>
      </w:r>
      <w:r>
        <w:rPr>
          <w:rFonts w:hint="eastAsia"/>
          <w:szCs w:val="21"/>
        </w:rPr>
        <w:t>确度</w:t>
      </w:r>
      <w:r>
        <w:rPr>
          <w:rFonts w:hint="eastAsia"/>
          <w:szCs w:val="21"/>
          <w:lang w:eastAsia="zh-CN"/>
        </w:rPr>
        <w:t>表</w:t>
      </w:r>
    </w:p>
    <w:p w14:paraId="0261B2A6">
      <w:pPr>
        <w:pStyle w:val="25"/>
        <w:ind w:firstLine="0" w:firstLineChars="0"/>
        <w:jc w:val="center"/>
        <w:outlineLvl w:val="0"/>
        <w:rPr>
          <w:rFonts w:hint="eastAsia"/>
          <w:szCs w:val="21"/>
          <w:lang w:eastAsia="zh-CN"/>
        </w:rPr>
      </w:pPr>
    </w:p>
    <w:p w14:paraId="2C6747AF">
      <w:pPr>
        <w:pStyle w:val="25"/>
        <w:ind w:firstLine="210" w:firstLineChars="100"/>
        <w:jc w:val="left"/>
        <w:outlineLvl w:val="0"/>
        <w:rPr>
          <w:rFonts w:hint="eastAsia" w:eastAsia="宋体"/>
          <w:szCs w:val="21"/>
          <w:lang w:eastAsia="zh-CN"/>
        </w:rPr>
      </w:pPr>
      <w:r>
        <w:rPr>
          <w:rFonts w:hint="eastAsia"/>
          <w:szCs w:val="21"/>
        </w:rPr>
        <w:t>固体废物的</w:t>
      </w:r>
      <w:r>
        <w:rPr>
          <w:rFonts w:hint="eastAsia"/>
          <w:szCs w:val="21"/>
          <w:lang w:eastAsia="zh-CN"/>
        </w:rPr>
        <w:t>正</w:t>
      </w:r>
      <w:r>
        <w:rPr>
          <w:rFonts w:hint="eastAsia"/>
          <w:szCs w:val="21"/>
        </w:rPr>
        <w:t>确度</w:t>
      </w:r>
      <w:r>
        <w:rPr>
          <w:rFonts w:hint="eastAsia"/>
          <w:szCs w:val="21"/>
          <w:lang w:eastAsia="zh-CN"/>
        </w:rPr>
        <w:t>见</w:t>
      </w:r>
      <w:r>
        <w:rPr>
          <w:rFonts w:hint="eastAsia"/>
          <w:szCs w:val="21"/>
        </w:rPr>
        <w:t>表B.1</w:t>
      </w:r>
      <w:r>
        <w:rPr>
          <w:rFonts w:hint="eastAsia"/>
          <w:szCs w:val="21"/>
          <w:lang w:eastAsia="zh-CN"/>
        </w:rPr>
        <w:t>，</w:t>
      </w:r>
      <w:r>
        <w:rPr>
          <w:rFonts w:hint="eastAsia"/>
          <w:szCs w:val="21"/>
        </w:rPr>
        <w:t>固体废物的精密度</w:t>
      </w:r>
      <w:r>
        <w:rPr>
          <w:rFonts w:hint="eastAsia"/>
          <w:szCs w:val="21"/>
          <w:lang w:eastAsia="zh-CN"/>
        </w:rPr>
        <w:t>见</w:t>
      </w:r>
      <w:r>
        <w:rPr>
          <w:rFonts w:hint="eastAsia"/>
          <w:szCs w:val="21"/>
        </w:rPr>
        <w:t>表B.2</w:t>
      </w:r>
      <w:r>
        <w:rPr>
          <w:rFonts w:hint="eastAsia"/>
          <w:szCs w:val="21"/>
          <w:lang w:eastAsia="zh-CN"/>
        </w:rPr>
        <w:t>，</w:t>
      </w:r>
      <w:r>
        <w:rPr>
          <w:rFonts w:hint="eastAsia" w:ascii="宋体" w:eastAsia="宋体"/>
          <w:szCs w:val="21"/>
        </w:rPr>
        <w:t>固体废物浸出液的精密度和</w:t>
      </w:r>
      <w:r>
        <w:rPr>
          <w:rFonts w:hint="eastAsia" w:ascii="宋体" w:eastAsia="宋体"/>
          <w:szCs w:val="21"/>
          <w:lang w:eastAsia="zh-CN"/>
        </w:rPr>
        <w:t>正</w:t>
      </w:r>
      <w:r>
        <w:rPr>
          <w:rFonts w:hint="eastAsia" w:ascii="宋体" w:eastAsia="宋体"/>
          <w:szCs w:val="21"/>
        </w:rPr>
        <w:t>确度</w:t>
      </w:r>
      <w:r>
        <w:rPr>
          <w:rFonts w:hint="eastAsia"/>
          <w:szCs w:val="21"/>
          <w:lang w:eastAsia="zh-CN"/>
        </w:rPr>
        <w:t>见</w:t>
      </w:r>
      <w:r>
        <w:rPr>
          <w:rFonts w:hint="eastAsia" w:ascii="宋体" w:eastAsia="宋体"/>
          <w:szCs w:val="21"/>
        </w:rPr>
        <w:t>表B.3</w:t>
      </w:r>
      <w:r>
        <w:rPr>
          <w:rFonts w:hint="eastAsia"/>
          <w:szCs w:val="21"/>
          <w:lang w:eastAsia="zh-CN"/>
        </w:rPr>
        <w:t>。</w:t>
      </w:r>
    </w:p>
    <w:p w14:paraId="01C8B979">
      <w:pPr>
        <w:pStyle w:val="25"/>
        <w:ind w:firstLine="0" w:firstLineChars="0"/>
        <w:jc w:val="center"/>
        <w:rPr>
          <w:szCs w:val="21"/>
        </w:rPr>
      </w:pPr>
    </w:p>
    <w:p w14:paraId="004219C8">
      <w:pPr>
        <w:pStyle w:val="25"/>
        <w:ind w:firstLine="0" w:firstLineChars="0"/>
        <w:jc w:val="center"/>
        <w:rPr>
          <w:rFonts w:hint="eastAsia" w:eastAsia="宋体"/>
          <w:szCs w:val="21"/>
          <w:lang w:eastAsia="zh-CN"/>
        </w:rPr>
      </w:pPr>
      <w:r>
        <w:rPr>
          <w:rFonts w:hint="eastAsia"/>
          <w:szCs w:val="21"/>
        </w:rPr>
        <w:t>表B.1 固体废物的</w:t>
      </w:r>
      <w:r>
        <w:rPr>
          <w:rFonts w:hint="eastAsia"/>
          <w:szCs w:val="21"/>
          <w:lang w:eastAsia="zh-CN"/>
        </w:rPr>
        <w:t>正</w:t>
      </w:r>
      <w:r>
        <w:rPr>
          <w:rFonts w:hint="eastAsia"/>
          <w:szCs w:val="21"/>
        </w:rPr>
        <w:t>确度</w:t>
      </w:r>
      <w:r>
        <w:rPr>
          <w:rFonts w:hint="eastAsia"/>
          <w:szCs w:val="21"/>
          <w:lang w:eastAsia="zh-CN"/>
        </w:rPr>
        <w:t>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1982"/>
        <w:gridCol w:w="2958"/>
        <w:gridCol w:w="2836"/>
      </w:tblGrid>
      <w:tr w14:paraId="5E803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14:paraId="0C40BFC7">
            <w:pPr>
              <w:pStyle w:val="25"/>
              <w:ind w:firstLine="0" w:firstLineChars="0"/>
              <w:jc w:val="center"/>
              <w:rPr>
                <w:rFonts w:hint="eastAsia" w:ascii="宋体" w:hAnsi="宋体" w:eastAsia="宋体" w:cs="宋体"/>
                <w:sz w:val="21"/>
                <w:szCs w:val="21"/>
              </w:rPr>
            </w:pPr>
            <w:r>
              <w:rPr>
                <w:rFonts w:hint="eastAsia" w:ascii="宋体" w:hAnsi="宋体" w:eastAsia="宋体" w:cs="宋体"/>
                <w:sz w:val="21"/>
                <w:szCs w:val="21"/>
              </w:rPr>
              <w:t>元素</w:t>
            </w:r>
          </w:p>
        </w:tc>
        <w:tc>
          <w:tcPr>
            <w:tcW w:w="1982" w:type="dxa"/>
            <w:vAlign w:val="center"/>
          </w:tcPr>
          <w:p w14:paraId="431DE33D">
            <w:pPr>
              <w:pStyle w:val="25"/>
              <w:ind w:firstLine="0" w:firstLineChars="0"/>
              <w:jc w:val="center"/>
              <w:rPr>
                <w:rFonts w:hint="eastAsia" w:ascii="宋体" w:hAnsi="宋体" w:eastAsia="宋体" w:cs="宋体"/>
                <w:sz w:val="21"/>
                <w:szCs w:val="21"/>
              </w:rPr>
            </w:pPr>
            <w:r>
              <w:rPr>
                <w:rFonts w:hint="eastAsia" w:ascii="宋体" w:hAnsi="宋体" w:eastAsia="宋体" w:cs="宋体"/>
                <w:sz w:val="21"/>
                <w:szCs w:val="21"/>
              </w:rPr>
              <w:t>标准值mg/kg</w:t>
            </w:r>
          </w:p>
        </w:tc>
        <w:tc>
          <w:tcPr>
            <w:tcW w:w="2958" w:type="dxa"/>
            <w:vAlign w:val="center"/>
          </w:tcPr>
          <w:p w14:paraId="73E9683B">
            <w:pPr>
              <w:pStyle w:val="25"/>
              <w:jc w:val="center"/>
              <w:rPr>
                <w:rFonts w:hint="eastAsia" w:ascii="宋体" w:hAnsi="宋体" w:eastAsia="宋体" w:cs="宋体"/>
                <w:sz w:val="21"/>
                <w:szCs w:val="21"/>
              </w:rPr>
            </w:pPr>
            <w:r>
              <w:rPr>
                <w:rFonts w:hint="eastAsia" w:ascii="宋体" w:hAnsi="宋体" w:eastAsia="宋体" w:cs="宋体"/>
                <w:sz w:val="21"/>
                <w:szCs w:val="21"/>
              </w:rPr>
              <w:t>实验室内相对误差%</w:t>
            </w:r>
          </w:p>
        </w:tc>
        <w:tc>
          <w:tcPr>
            <w:tcW w:w="2836" w:type="dxa"/>
            <w:vAlign w:val="center"/>
          </w:tcPr>
          <w:p w14:paraId="6E80D226">
            <w:pPr>
              <w:pStyle w:val="25"/>
              <w:jc w:val="center"/>
              <w:rPr>
                <w:rFonts w:hint="eastAsia" w:ascii="宋体" w:hAnsi="宋体" w:eastAsia="宋体" w:cs="宋体"/>
                <w:sz w:val="21"/>
                <w:szCs w:val="21"/>
              </w:rPr>
            </w:pPr>
            <w:r>
              <w:rPr>
                <w:rFonts w:hint="eastAsia" w:ascii="宋体" w:hAnsi="宋体" w:eastAsia="宋体" w:cs="宋体"/>
                <w:sz w:val="21"/>
                <w:szCs w:val="21"/>
              </w:rPr>
              <w:t>相对误差</w:t>
            </w:r>
            <w:r>
              <w:rPr>
                <w:rFonts w:hint="eastAsia" w:ascii="宋体" w:hAnsi="宋体" w:eastAsia="宋体" w:cs="宋体"/>
                <w:sz w:val="21"/>
                <w:szCs w:val="21"/>
                <w:lang w:eastAsia="zh-CN"/>
              </w:rPr>
              <w:t>最终值</w:t>
            </w:r>
            <w:r>
              <w:rPr>
                <w:rFonts w:hint="eastAsia" w:ascii="宋体" w:hAnsi="宋体" w:eastAsia="宋体" w:cs="宋体"/>
                <w:sz w:val="21"/>
                <w:szCs w:val="21"/>
              </w:rPr>
              <w:t>%</w:t>
            </w:r>
          </w:p>
        </w:tc>
      </w:tr>
      <w:tr w14:paraId="2AB22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restart"/>
            <w:vAlign w:val="center"/>
          </w:tcPr>
          <w:p w14:paraId="719E9719">
            <w:pPr>
              <w:pStyle w:val="25"/>
              <w:ind w:firstLine="0" w:firstLineChars="0"/>
              <w:jc w:val="center"/>
              <w:rPr>
                <w:rFonts w:hint="eastAsia" w:ascii="宋体" w:hAnsi="宋体" w:eastAsia="宋体" w:cs="宋体"/>
                <w:sz w:val="21"/>
                <w:szCs w:val="21"/>
              </w:rPr>
            </w:pPr>
            <w:r>
              <w:rPr>
                <w:rFonts w:hint="eastAsia" w:ascii="宋体" w:hAnsi="宋体" w:eastAsia="宋体" w:cs="宋体"/>
                <w:sz w:val="21"/>
                <w:szCs w:val="21"/>
              </w:rPr>
              <w:t>铀</w:t>
            </w:r>
          </w:p>
        </w:tc>
        <w:tc>
          <w:tcPr>
            <w:tcW w:w="1982" w:type="dxa"/>
            <w:vAlign w:val="center"/>
          </w:tcPr>
          <w:p w14:paraId="792B0904">
            <w:pPr>
              <w:pStyle w:val="25"/>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w:t>
            </w:r>
          </w:p>
        </w:tc>
        <w:tc>
          <w:tcPr>
            <w:tcW w:w="2958" w:type="dxa"/>
            <w:vAlign w:val="center"/>
          </w:tcPr>
          <w:p w14:paraId="36296D9C">
            <w:pPr>
              <w:pStyle w:val="25"/>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0.73</w:t>
            </w:r>
            <w:r>
              <w:rPr>
                <w:rFonts w:hint="default" w:ascii="Times New Roman" w:hAnsi="Times New Roman" w:eastAsia="宋体" w:cs="Times New Roman"/>
                <w:sz w:val="21"/>
                <w:szCs w:val="21"/>
                <w:lang w:val="en-US" w:eastAsia="zh-CN"/>
              </w:rPr>
              <w:t>~</w:t>
            </w:r>
            <w:r>
              <w:rPr>
                <w:rFonts w:hint="eastAsia" w:ascii="宋体" w:hAnsi="宋体" w:eastAsia="宋体" w:cs="宋体"/>
                <w:sz w:val="21"/>
                <w:szCs w:val="21"/>
                <w:lang w:val="en-US" w:eastAsia="zh-CN"/>
              </w:rPr>
              <w:t>1</w:t>
            </w:r>
            <w:r>
              <w:rPr>
                <w:rFonts w:hint="eastAsia" w:hAnsi="宋体" w:cs="宋体"/>
                <w:sz w:val="21"/>
                <w:szCs w:val="21"/>
                <w:lang w:val="en-US" w:eastAsia="zh-CN"/>
              </w:rPr>
              <w:t>1</w:t>
            </w:r>
          </w:p>
        </w:tc>
        <w:tc>
          <w:tcPr>
            <w:tcW w:w="2836" w:type="dxa"/>
            <w:vAlign w:val="center"/>
          </w:tcPr>
          <w:p w14:paraId="1B8EF872">
            <w:pPr>
              <w:pStyle w:val="25"/>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5.</w:t>
            </w:r>
            <w:r>
              <w:rPr>
                <w:rFonts w:hint="eastAsia" w:hAnsi="宋体" w:cs="宋体"/>
                <w:sz w:val="21"/>
                <w:szCs w:val="21"/>
                <w:lang w:val="en-US" w:eastAsia="zh-CN"/>
              </w:rPr>
              <w:t>1</w:t>
            </w:r>
            <w:r>
              <w:rPr>
                <w:rFonts w:hint="eastAsia" w:ascii="宋体" w:hAnsi="宋体" w:eastAsia="宋体" w:cs="宋体"/>
                <w:sz w:val="21"/>
                <w:szCs w:val="21"/>
                <w:lang w:val="en-US" w:eastAsia="zh-CN"/>
              </w:rPr>
              <w:t>±</w:t>
            </w:r>
            <w:r>
              <w:rPr>
                <w:rFonts w:hint="eastAsia" w:hAnsi="宋体" w:cs="宋体"/>
                <w:sz w:val="21"/>
                <w:szCs w:val="21"/>
                <w:lang w:val="en-US" w:eastAsia="zh-CN"/>
              </w:rPr>
              <w:t>7.0</w:t>
            </w:r>
          </w:p>
        </w:tc>
      </w:tr>
      <w:tr w14:paraId="62216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continue"/>
            <w:vAlign w:val="center"/>
          </w:tcPr>
          <w:p w14:paraId="414FDF48">
            <w:pPr>
              <w:pStyle w:val="25"/>
              <w:ind w:firstLine="0" w:firstLineChars="0"/>
              <w:jc w:val="center"/>
              <w:rPr>
                <w:rFonts w:hint="eastAsia" w:ascii="宋体" w:hAnsi="宋体" w:eastAsia="宋体" w:cs="宋体"/>
                <w:sz w:val="21"/>
                <w:szCs w:val="21"/>
              </w:rPr>
            </w:pPr>
          </w:p>
        </w:tc>
        <w:tc>
          <w:tcPr>
            <w:tcW w:w="1982" w:type="dxa"/>
            <w:vAlign w:val="center"/>
          </w:tcPr>
          <w:p w14:paraId="6BEBF552">
            <w:pPr>
              <w:pStyle w:val="25"/>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14.6</w:t>
            </w:r>
          </w:p>
        </w:tc>
        <w:tc>
          <w:tcPr>
            <w:tcW w:w="2958" w:type="dxa"/>
            <w:vAlign w:val="center"/>
          </w:tcPr>
          <w:p w14:paraId="0C50C627">
            <w:pPr>
              <w:pStyle w:val="25"/>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0.57</w:t>
            </w:r>
            <w:r>
              <w:rPr>
                <w:rFonts w:hint="default" w:ascii="Times New Roman" w:hAnsi="Times New Roman" w:eastAsia="宋体" w:cs="Times New Roman"/>
                <w:sz w:val="21"/>
                <w:szCs w:val="21"/>
                <w:lang w:val="en-US" w:eastAsia="zh-CN"/>
              </w:rPr>
              <w:t>~</w:t>
            </w:r>
            <w:r>
              <w:rPr>
                <w:rFonts w:hint="eastAsia" w:ascii="宋体" w:hAnsi="宋体" w:eastAsia="宋体" w:cs="宋体"/>
                <w:sz w:val="21"/>
                <w:szCs w:val="21"/>
                <w:lang w:val="en-US" w:eastAsia="zh-CN"/>
              </w:rPr>
              <w:t>10</w:t>
            </w:r>
          </w:p>
        </w:tc>
        <w:tc>
          <w:tcPr>
            <w:tcW w:w="2836" w:type="dxa"/>
            <w:vAlign w:val="center"/>
          </w:tcPr>
          <w:p w14:paraId="5B4DC9BC">
            <w:pPr>
              <w:pStyle w:val="25"/>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6.3±6.4</w:t>
            </w:r>
          </w:p>
        </w:tc>
      </w:tr>
      <w:tr w14:paraId="3C367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continue"/>
            <w:vAlign w:val="center"/>
          </w:tcPr>
          <w:p w14:paraId="58F19CD1">
            <w:pPr>
              <w:pStyle w:val="25"/>
              <w:ind w:firstLine="0" w:firstLineChars="0"/>
              <w:jc w:val="center"/>
              <w:rPr>
                <w:rFonts w:hint="eastAsia" w:ascii="宋体" w:hAnsi="宋体" w:eastAsia="宋体" w:cs="宋体"/>
                <w:sz w:val="21"/>
                <w:szCs w:val="21"/>
              </w:rPr>
            </w:pPr>
          </w:p>
        </w:tc>
        <w:tc>
          <w:tcPr>
            <w:tcW w:w="1982" w:type="dxa"/>
            <w:vAlign w:val="center"/>
          </w:tcPr>
          <w:p w14:paraId="0446B37F">
            <w:pPr>
              <w:pStyle w:val="25"/>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536</w:t>
            </w:r>
          </w:p>
        </w:tc>
        <w:tc>
          <w:tcPr>
            <w:tcW w:w="2958" w:type="dxa"/>
            <w:vAlign w:val="center"/>
          </w:tcPr>
          <w:p w14:paraId="624AA8E8">
            <w:pPr>
              <w:pStyle w:val="25"/>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0.75</w:t>
            </w:r>
            <w:r>
              <w:rPr>
                <w:rFonts w:hint="default" w:ascii="Times New Roman" w:hAnsi="Times New Roman" w:eastAsia="宋体" w:cs="Times New Roman"/>
                <w:sz w:val="21"/>
                <w:szCs w:val="21"/>
                <w:lang w:val="en-US" w:eastAsia="zh-CN"/>
              </w:rPr>
              <w:t>~</w:t>
            </w:r>
            <w:r>
              <w:rPr>
                <w:rFonts w:hint="eastAsia" w:ascii="宋体" w:hAnsi="宋体" w:eastAsia="宋体" w:cs="宋体"/>
                <w:sz w:val="21"/>
                <w:szCs w:val="21"/>
                <w:lang w:val="en-US" w:eastAsia="zh-CN"/>
              </w:rPr>
              <w:t>5.8</w:t>
            </w:r>
          </w:p>
        </w:tc>
        <w:tc>
          <w:tcPr>
            <w:tcW w:w="2836" w:type="dxa"/>
            <w:vAlign w:val="center"/>
          </w:tcPr>
          <w:p w14:paraId="1DBDF6B0">
            <w:pPr>
              <w:pStyle w:val="25"/>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2.7±4.8</w:t>
            </w:r>
          </w:p>
        </w:tc>
      </w:tr>
      <w:tr w14:paraId="4CAA8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restart"/>
            <w:vAlign w:val="center"/>
          </w:tcPr>
          <w:p w14:paraId="5011235D">
            <w:pPr>
              <w:pStyle w:val="25"/>
              <w:ind w:firstLine="0" w:firstLineChars="0"/>
              <w:jc w:val="center"/>
              <w:rPr>
                <w:rFonts w:hint="eastAsia" w:ascii="宋体" w:hAnsi="宋体" w:eastAsia="宋体" w:cs="宋体"/>
                <w:sz w:val="21"/>
                <w:szCs w:val="21"/>
              </w:rPr>
            </w:pPr>
            <w:r>
              <w:rPr>
                <w:rFonts w:hint="eastAsia" w:ascii="宋体" w:hAnsi="宋体" w:eastAsia="宋体" w:cs="宋体"/>
                <w:sz w:val="21"/>
                <w:szCs w:val="21"/>
              </w:rPr>
              <w:t>钍</w:t>
            </w:r>
          </w:p>
        </w:tc>
        <w:tc>
          <w:tcPr>
            <w:tcW w:w="1982" w:type="dxa"/>
            <w:vAlign w:val="center"/>
          </w:tcPr>
          <w:p w14:paraId="1F3CBF7F">
            <w:pPr>
              <w:pStyle w:val="25"/>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8.4</w:t>
            </w:r>
          </w:p>
        </w:tc>
        <w:tc>
          <w:tcPr>
            <w:tcW w:w="2958" w:type="dxa"/>
            <w:vAlign w:val="center"/>
          </w:tcPr>
          <w:p w14:paraId="318ACE03">
            <w:pPr>
              <w:pStyle w:val="25"/>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0.12</w:t>
            </w:r>
            <w:r>
              <w:rPr>
                <w:rFonts w:hint="default" w:ascii="Times New Roman" w:hAnsi="Times New Roman" w:eastAsia="宋体" w:cs="Times New Roman"/>
                <w:sz w:val="21"/>
                <w:szCs w:val="21"/>
                <w:lang w:val="en-US" w:eastAsia="zh-CN"/>
              </w:rPr>
              <w:t>~</w:t>
            </w:r>
            <w:r>
              <w:rPr>
                <w:rFonts w:hint="eastAsia" w:ascii="宋体" w:hAnsi="宋体" w:eastAsia="宋体" w:cs="宋体"/>
                <w:sz w:val="21"/>
                <w:szCs w:val="21"/>
                <w:lang w:val="en-US" w:eastAsia="zh-CN"/>
              </w:rPr>
              <w:t>4.3</w:t>
            </w:r>
          </w:p>
        </w:tc>
        <w:tc>
          <w:tcPr>
            <w:tcW w:w="2836" w:type="dxa"/>
            <w:vAlign w:val="center"/>
          </w:tcPr>
          <w:p w14:paraId="154C7BCB">
            <w:pPr>
              <w:pStyle w:val="25"/>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2.3±3.0</w:t>
            </w:r>
          </w:p>
        </w:tc>
      </w:tr>
      <w:tr w14:paraId="04425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continue"/>
            <w:vAlign w:val="center"/>
          </w:tcPr>
          <w:p w14:paraId="02C29647">
            <w:pPr>
              <w:pStyle w:val="25"/>
              <w:ind w:firstLine="0" w:firstLineChars="0"/>
              <w:jc w:val="center"/>
              <w:rPr>
                <w:rFonts w:hint="eastAsia" w:ascii="宋体" w:hAnsi="宋体" w:eastAsia="宋体" w:cs="宋体"/>
                <w:sz w:val="21"/>
                <w:szCs w:val="21"/>
              </w:rPr>
            </w:pPr>
          </w:p>
        </w:tc>
        <w:tc>
          <w:tcPr>
            <w:tcW w:w="1982" w:type="dxa"/>
            <w:vAlign w:val="center"/>
          </w:tcPr>
          <w:p w14:paraId="66130286">
            <w:pPr>
              <w:pStyle w:val="25"/>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79.3</w:t>
            </w:r>
          </w:p>
        </w:tc>
        <w:tc>
          <w:tcPr>
            <w:tcW w:w="2958" w:type="dxa"/>
            <w:vAlign w:val="center"/>
          </w:tcPr>
          <w:p w14:paraId="79C72CAC">
            <w:pPr>
              <w:pStyle w:val="25"/>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0.11</w:t>
            </w:r>
            <w:r>
              <w:rPr>
                <w:rFonts w:hint="default" w:ascii="Times New Roman" w:hAnsi="Times New Roman" w:eastAsia="宋体" w:cs="Times New Roman"/>
                <w:sz w:val="21"/>
                <w:szCs w:val="21"/>
                <w:lang w:val="en-US" w:eastAsia="zh-CN"/>
              </w:rPr>
              <w:t>~</w:t>
            </w:r>
            <w:r>
              <w:rPr>
                <w:rFonts w:hint="eastAsia" w:ascii="宋体" w:hAnsi="宋体" w:eastAsia="宋体" w:cs="宋体"/>
                <w:sz w:val="21"/>
                <w:szCs w:val="21"/>
                <w:lang w:val="en-US" w:eastAsia="zh-CN"/>
              </w:rPr>
              <w:t>4.9</w:t>
            </w:r>
          </w:p>
        </w:tc>
        <w:tc>
          <w:tcPr>
            <w:tcW w:w="2836" w:type="dxa"/>
            <w:vAlign w:val="center"/>
          </w:tcPr>
          <w:p w14:paraId="454AC26B">
            <w:pPr>
              <w:pStyle w:val="25"/>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2.8±4.2</w:t>
            </w:r>
          </w:p>
        </w:tc>
      </w:tr>
      <w:tr w14:paraId="57CF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continue"/>
            <w:vAlign w:val="center"/>
          </w:tcPr>
          <w:p w14:paraId="47889E5A">
            <w:pPr>
              <w:pStyle w:val="25"/>
              <w:ind w:firstLine="0" w:firstLineChars="0"/>
              <w:jc w:val="center"/>
              <w:rPr>
                <w:rFonts w:hint="eastAsia" w:ascii="宋体" w:hAnsi="宋体" w:eastAsia="宋体" w:cs="宋体"/>
                <w:sz w:val="21"/>
                <w:szCs w:val="21"/>
              </w:rPr>
            </w:pPr>
          </w:p>
        </w:tc>
        <w:tc>
          <w:tcPr>
            <w:tcW w:w="1982" w:type="dxa"/>
            <w:vAlign w:val="center"/>
          </w:tcPr>
          <w:p w14:paraId="3542517F">
            <w:pPr>
              <w:pStyle w:val="25"/>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2020</w:t>
            </w:r>
          </w:p>
        </w:tc>
        <w:tc>
          <w:tcPr>
            <w:tcW w:w="2958" w:type="dxa"/>
            <w:vAlign w:val="center"/>
          </w:tcPr>
          <w:p w14:paraId="19450783">
            <w:pPr>
              <w:pStyle w:val="25"/>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0.60</w:t>
            </w:r>
            <w:r>
              <w:rPr>
                <w:rFonts w:hint="default" w:ascii="Times New Roman" w:hAnsi="Times New Roman" w:eastAsia="宋体" w:cs="Times New Roman"/>
                <w:sz w:val="21"/>
                <w:szCs w:val="21"/>
                <w:lang w:val="en-US" w:eastAsia="zh-CN"/>
              </w:rPr>
              <w:t>~</w:t>
            </w:r>
            <w:r>
              <w:rPr>
                <w:rFonts w:hint="eastAsia" w:ascii="宋体" w:hAnsi="宋体" w:eastAsia="宋体" w:cs="宋体"/>
                <w:sz w:val="21"/>
                <w:szCs w:val="21"/>
                <w:lang w:val="en-US" w:eastAsia="zh-CN"/>
              </w:rPr>
              <w:t>4.4</w:t>
            </w:r>
          </w:p>
        </w:tc>
        <w:tc>
          <w:tcPr>
            <w:tcW w:w="2836" w:type="dxa"/>
            <w:vAlign w:val="center"/>
          </w:tcPr>
          <w:p w14:paraId="71FA5B48">
            <w:pPr>
              <w:pStyle w:val="25"/>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2.1±2.8</w:t>
            </w:r>
          </w:p>
        </w:tc>
      </w:tr>
    </w:tbl>
    <w:p w14:paraId="48221265">
      <w:pPr>
        <w:pStyle w:val="25"/>
        <w:ind w:firstLine="0" w:firstLineChars="0"/>
        <w:jc w:val="center"/>
        <w:rPr>
          <w:szCs w:val="21"/>
        </w:rPr>
      </w:pPr>
    </w:p>
    <w:p w14:paraId="4BBCB11B">
      <w:pPr>
        <w:pStyle w:val="25"/>
        <w:ind w:firstLine="0" w:firstLineChars="0"/>
        <w:jc w:val="center"/>
        <w:rPr>
          <w:rFonts w:hint="eastAsia"/>
          <w:szCs w:val="21"/>
        </w:rPr>
      </w:pPr>
    </w:p>
    <w:p w14:paraId="531AFF84">
      <w:pPr>
        <w:pStyle w:val="25"/>
        <w:ind w:firstLine="0" w:firstLineChars="0"/>
        <w:jc w:val="center"/>
        <w:rPr>
          <w:rFonts w:hint="eastAsia"/>
          <w:szCs w:val="21"/>
        </w:rPr>
      </w:pPr>
    </w:p>
    <w:p w14:paraId="7DBE212D">
      <w:pPr>
        <w:pStyle w:val="25"/>
        <w:ind w:firstLine="0" w:firstLineChars="0"/>
        <w:jc w:val="center"/>
        <w:rPr>
          <w:rFonts w:hint="eastAsia" w:eastAsia="宋体"/>
          <w:szCs w:val="21"/>
          <w:lang w:eastAsia="zh-CN"/>
        </w:rPr>
      </w:pPr>
      <w:r>
        <w:rPr>
          <w:rFonts w:hint="eastAsia"/>
          <w:szCs w:val="21"/>
        </w:rPr>
        <w:t>表B.2 固体废物的精密度</w:t>
      </w:r>
      <w:r>
        <w:rPr>
          <w:rFonts w:hint="eastAsia"/>
          <w:szCs w:val="21"/>
          <w:lang w:eastAsia="zh-CN"/>
        </w:rPr>
        <w:t>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3"/>
        <w:gridCol w:w="2411"/>
        <w:gridCol w:w="2954"/>
        <w:gridCol w:w="2393"/>
      </w:tblGrid>
      <w:tr w14:paraId="7FE28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vAlign w:val="center"/>
          </w:tcPr>
          <w:p w14:paraId="35025C5D">
            <w:pPr>
              <w:pStyle w:val="25"/>
              <w:ind w:firstLine="0" w:firstLineChars="0"/>
              <w:jc w:val="center"/>
              <w:rPr>
                <w:rFonts w:hint="eastAsia"/>
                <w:szCs w:val="21"/>
                <w:vertAlign w:val="baseline"/>
              </w:rPr>
            </w:pPr>
            <w:r>
              <w:rPr>
                <w:rFonts w:hint="eastAsia" w:ascii="宋体" w:hAnsi="宋体" w:eastAsia="宋体" w:cs="宋体"/>
                <w:sz w:val="21"/>
                <w:szCs w:val="21"/>
              </w:rPr>
              <w:t>元素</w:t>
            </w:r>
          </w:p>
        </w:tc>
        <w:tc>
          <w:tcPr>
            <w:tcW w:w="2411" w:type="dxa"/>
            <w:vAlign w:val="center"/>
          </w:tcPr>
          <w:p w14:paraId="641D7A0B">
            <w:pPr>
              <w:pStyle w:val="25"/>
              <w:ind w:firstLine="420" w:firstLineChars="200"/>
              <w:jc w:val="center"/>
              <w:rPr>
                <w:rFonts w:hint="eastAsia"/>
                <w:szCs w:val="21"/>
                <w:vertAlign w:val="baseline"/>
              </w:rPr>
            </w:pPr>
            <w:r>
              <w:rPr>
                <w:rFonts w:hint="eastAsia" w:ascii="宋体" w:hAnsi="宋体" w:eastAsia="宋体" w:cs="宋体"/>
                <w:sz w:val="21"/>
                <w:szCs w:val="21"/>
              </w:rPr>
              <w:t>平均值mg/kg</w:t>
            </w:r>
          </w:p>
        </w:tc>
        <w:tc>
          <w:tcPr>
            <w:tcW w:w="2954" w:type="dxa"/>
            <w:vAlign w:val="center"/>
          </w:tcPr>
          <w:p w14:paraId="25C6C29B">
            <w:pPr>
              <w:pStyle w:val="25"/>
              <w:ind w:left="0" w:leftChars="0" w:firstLine="0" w:firstLineChars="0"/>
              <w:jc w:val="center"/>
              <w:rPr>
                <w:rFonts w:hint="eastAsia"/>
                <w:szCs w:val="21"/>
                <w:vertAlign w:val="baseline"/>
              </w:rPr>
            </w:pPr>
            <w:r>
              <w:rPr>
                <w:rFonts w:hint="eastAsia" w:ascii="宋体" w:hAnsi="宋体" w:eastAsia="宋体" w:cs="宋体"/>
                <w:sz w:val="21"/>
                <w:szCs w:val="21"/>
              </w:rPr>
              <w:t>实验室内相对偏差%</w:t>
            </w:r>
          </w:p>
        </w:tc>
        <w:tc>
          <w:tcPr>
            <w:tcW w:w="2393" w:type="dxa"/>
            <w:vAlign w:val="center"/>
          </w:tcPr>
          <w:p w14:paraId="417F0311">
            <w:pPr>
              <w:pStyle w:val="25"/>
              <w:ind w:left="0" w:leftChars="0" w:firstLine="0" w:firstLineChars="0"/>
              <w:jc w:val="center"/>
              <w:rPr>
                <w:rFonts w:hint="eastAsia"/>
                <w:szCs w:val="21"/>
                <w:vertAlign w:val="baseline"/>
              </w:rPr>
            </w:pPr>
            <w:r>
              <w:rPr>
                <w:rFonts w:hint="eastAsia" w:ascii="宋体" w:hAnsi="宋体" w:eastAsia="宋体" w:cs="宋体"/>
                <w:sz w:val="21"/>
                <w:szCs w:val="21"/>
              </w:rPr>
              <w:t>实验室间相对偏差%</w:t>
            </w:r>
          </w:p>
        </w:tc>
      </w:tr>
      <w:tr w14:paraId="129DB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vAlign w:val="center"/>
          </w:tcPr>
          <w:p w14:paraId="00651857">
            <w:pPr>
              <w:pStyle w:val="25"/>
              <w:ind w:firstLine="0" w:firstLineChars="0"/>
              <w:jc w:val="center"/>
              <w:rPr>
                <w:rFonts w:hint="eastAsia"/>
                <w:szCs w:val="21"/>
                <w:vertAlign w:val="baseline"/>
              </w:rPr>
            </w:pPr>
            <w:r>
              <w:rPr>
                <w:rFonts w:hint="eastAsia" w:ascii="宋体" w:hAnsi="宋体" w:eastAsia="宋体" w:cs="宋体"/>
                <w:sz w:val="21"/>
                <w:szCs w:val="21"/>
              </w:rPr>
              <w:t>铀</w:t>
            </w:r>
          </w:p>
        </w:tc>
        <w:tc>
          <w:tcPr>
            <w:tcW w:w="2411" w:type="dxa"/>
            <w:vAlign w:val="center"/>
          </w:tcPr>
          <w:p w14:paraId="5827A107">
            <w:pPr>
              <w:pStyle w:val="25"/>
              <w:ind w:firstLine="420" w:firstLineChars="200"/>
              <w:jc w:val="center"/>
              <w:rPr>
                <w:rFonts w:hint="eastAsia"/>
                <w:szCs w:val="21"/>
                <w:vertAlign w:val="baseline"/>
              </w:rPr>
            </w:pPr>
            <w:r>
              <w:rPr>
                <w:rFonts w:hint="eastAsia" w:ascii="宋体" w:hAnsi="宋体" w:eastAsia="宋体" w:cs="宋体"/>
                <w:sz w:val="21"/>
                <w:szCs w:val="21"/>
                <w:lang w:val="en-US" w:eastAsia="zh-CN"/>
              </w:rPr>
              <w:t>68.2</w:t>
            </w:r>
          </w:p>
        </w:tc>
        <w:tc>
          <w:tcPr>
            <w:tcW w:w="2954" w:type="dxa"/>
            <w:vAlign w:val="center"/>
          </w:tcPr>
          <w:p w14:paraId="69B63C1F">
            <w:pPr>
              <w:pStyle w:val="25"/>
              <w:ind w:firstLine="420" w:firstLineChars="200"/>
              <w:jc w:val="center"/>
              <w:rPr>
                <w:rFonts w:hint="eastAsia"/>
                <w:szCs w:val="21"/>
                <w:vertAlign w:val="baseline"/>
              </w:rPr>
            </w:pPr>
            <w:r>
              <w:rPr>
                <w:rFonts w:hint="eastAsia" w:ascii="宋体" w:hAnsi="宋体" w:eastAsia="宋体" w:cs="宋体"/>
                <w:sz w:val="21"/>
                <w:szCs w:val="21"/>
                <w:lang w:val="en-US" w:eastAsia="zh-CN"/>
              </w:rPr>
              <w:t>0.46</w:t>
            </w:r>
            <w:r>
              <w:rPr>
                <w:rFonts w:hint="default" w:ascii="Times New Roman" w:hAnsi="Times New Roman" w:eastAsia="宋体" w:cs="Times New Roman"/>
                <w:sz w:val="21"/>
                <w:szCs w:val="21"/>
                <w:lang w:val="en-US" w:eastAsia="zh-CN"/>
              </w:rPr>
              <w:t>~</w:t>
            </w:r>
            <w:r>
              <w:rPr>
                <w:rFonts w:hint="eastAsia" w:ascii="宋体" w:hAnsi="宋体" w:eastAsia="宋体" w:cs="宋体"/>
                <w:sz w:val="21"/>
                <w:szCs w:val="21"/>
                <w:lang w:val="en-US" w:eastAsia="zh-CN"/>
              </w:rPr>
              <w:t>4.3</w:t>
            </w:r>
          </w:p>
        </w:tc>
        <w:tc>
          <w:tcPr>
            <w:tcW w:w="2393" w:type="dxa"/>
            <w:vAlign w:val="center"/>
          </w:tcPr>
          <w:p w14:paraId="6801B72A">
            <w:pPr>
              <w:pStyle w:val="25"/>
              <w:ind w:firstLine="420" w:firstLineChars="200"/>
              <w:jc w:val="center"/>
              <w:rPr>
                <w:rFonts w:hint="eastAsia"/>
                <w:szCs w:val="21"/>
                <w:vertAlign w:val="baseline"/>
              </w:rPr>
            </w:pPr>
            <w:r>
              <w:rPr>
                <w:rFonts w:hint="eastAsia" w:ascii="宋体" w:hAnsi="宋体" w:eastAsia="宋体" w:cs="宋体"/>
                <w:sz w:val="21"/>
                <w:szCs w:val="21"/>
                <w:lang w:val="en-US" w:eastAsia="zh-CN"/>
              </w:rPr>
              <w:t>3.1</w:t>
            </w:r>
          </w:p>
        </w:tc>
      </w:tr>
      <w:tr w14:paraId="3B97D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3" w:type="dxa"/>
            <w:vAlign w:val="center"/>
          </w:tcPr>
          <w:p w14:paraId="615EB3E4">
            <w:pPr>
              <w:pStyle w:val="25"/>
              <w:ind w:firstLine="0" w:firstLineChars="0"/>
              <w:jc w:val="center"/>
              <w:rPr>
                <w:rFonts w:hint="eastAsia"/>
                <w:szCs w:val="21"/>
                <w:vertAlign w:val="baseline"/>
              </w:rPr>
            </w:pPr>
            <w:r>
              <w:rPr>
                <w:rFonts w:hint="eastAsia" w:ascii="宋体" w:hAnsi="宋体" w:eastAsia="宋体" w:cs="宋体"/>
                <w:sz w:val="21"/>
                <w:szCs w:val="21"/>
              </w:rPr>
              <w:t>钍</w:t>
            </w:r>
          </w:p>
        </w:tc>
        <w:tc>
          <w:tcPr>
            <w:tcW w:w="2411" w:type="dxa"/>
            <w:vAlign w:val="center"/>
          </w:tcPr>
          <w:p w14:paraId="1E8C6B27">
            <w:pPr>
              <w:pStyle w:val="25"/>
              <w:ind w:firstLine="420" w:firstLineChars="200"/>
              <w:jc w:val="center"/>
              <w:rPr>
                <w:rFonts w:hint="eastAsia"/>
                <w:szCs w:val="21"/>
                <w:vertAlign w:val="baseline"/>
              </w:rPr>
            </w:pPr>
            <w:r>
              <w:rPr>
                <w:rFonts w:hint="eastAsia" w:ascii="宋体" w:hAnsi="宋体" w:eastAsia="宋体" w:cs="宋体"/>
                <w:sz w:val="21"/>
                <w:szCs w:val="21"/>
                <w:lang w:val="en-US" w:eastAsia="zh-CN"/>
              </w:rPr>
              <w:t>19.0</w:t>
            </w:r>
          </w:p>
        </w:tc>
        <w:tc>
          <w:tcPr>
            <w:tcW w:w="2954" w:type="dxa"/>
            <w:vAlign w:val="center"/>
          </w:tcPr>
          <w:p w14:paraId="18A990ED">
            <w:pPr>
              <w:pStyle w:val="25"/>
              <w:ind w:firstLine="420" w:firstLineChars="200"/>
              <w:jc w:val="center"/>
              <w:rPr>
                <w:rFonts w:hint="eastAsia"/>
                <w:szCs w:val="21"/>
                <w:vertAlign w:val="baseline"/>
              </w:rPr>
            </w:pPr>
            <w:r>
              <w:rPr>
                <w:rFonts w:hint="eastAsia" w:ascii="宋体" w:hAnsi="宋体" w:eastAsia="宋体" w:cs="宋体"/>
                <w:sz w:val="21"/>
                <w:szCs w:val="21"/>
                <w:lang w:val="en-US" w:eastAsia="zh-CN"/>
              </w:rPr>
              <w:t>0.56</w:t>
            </w:r>
            <w:r>
              <w:rPr>
                <w:rFonts w:hint="default" w:ascii="Times New Roman" w:hAnsi="Times New Roman" w:eastAsia="宋体" w:cs="Times New Roman"/>
                <w:sz w:val="21"/>
                <w:szCs w:val="21"/>
                <w:lang w:val="en-US" w:eastAsia="zh-CN"/>
              </w:rPr>
              <w:t>~</w:t>
            </w:r>
            <w:r>
              <w:rPr>
                <w:rFonts w:hint="eastAsia" w:ascii="宋体" w:hAnsi="宋体" w:eastAsia="宋体" w:cs="宋体"/>
                <w:sz w:val="21"/>
                <w:szCs w:val="21"/>
                <w:lang w:val="en-US" w:eastAsia="zh-CN"/>
              </w:rPr>
              <w:t>6.1</w:t>
            </w:r>
          </w:p>
        </w:tc>
        <w:tc>
          <w:tcPr>
            <w:tcW w:w="2393" w:type="dxa"/>
            <w:vAlign w:val="center"/>
          </w:tcPr>
          <w:p w14:paraId="1ACD7C3A">
            <w:pPr>
              <w:pStyle w:val="25"/>
              <w:ind w:firstLine="420" w:firstLineChars="200"/>
              <w:jc w:val="center"/>
              <w:rPr>
                <w:rFonts w:hint="eastAsia"/>
                <w:szCs w:val="21"/>
                <w:vertAlign w:val="baseline"/>
              </w:rPr>
            </w:pPr>
            <w:r>
              <w:rPr>
                <w:rFonts w:hint="eastAsia" w:ascii="宋体" w:hAnsi="宋体" w:eastAsia="宋体" w:cs="宋体"/>
                <w:sz w:val="21"/>
                <w:szCs w:val="21"/>
                <w:lang w:val="en-US" w:eastAsia="zh-CN"/>
              </w:rPr>
              <w:t>6.6</w:t>
            </w:r>
          </w:p>
        </w:tc>
      </w:tr>
    </w:tbl>
    <w:p w14:paraId="6C7AC3C9">
      <w:pPr>
        <w:pStyle w:val="25"/>
        <w:ind w:firstLine="0" w:firstLineChars="0"/>
        <w:jc w:val="center"/>
        <w:rPr>
          <w:rFonts w:hint="eastAsia"/>
          <w:szCs w:val="21"/>
        </w:rPr>
      </w:pPr>
    </w:p>
    <w:p w14:paraId="774A8043">
      <w:pPr>
        <w:pStyle w:val="25"/>
        <w:ind w:firstLine="0" w:firstLineChars="0"/>
        <w:jc w:val="center"/>
        <w:rPr>
          <w:rFonts w:hint="eastAsia"/>
          <w:szCs w:val="21"/>
        </w:rPr>
      </w:pPr>
    </w:p>
    <w:p w14:paraId="59B0F83E">
      <w:pPr>
        <w:pStyle w:val="25"/>
        <w:ind w:firstLine="0" w:firstLineChars="0"/>
        <w:jc w:val="center"/>
        <w:rPr>
          <w:rFonts w:hint="eastAsia"/>
          <w:szCs w:val="21"/>
        </w:rPr>
      </w:pPr>
    </w:p>
    <w:p w14:paraId="258A57C9">
      <w:pPr>
        <w:pStyle w:val="25"/>
        <w:ind w:firstLine="0" w:firstLineChars="0"/>
        <w:jc w:val="center"/>
        <w:rPr>
          <w:szCs w:val="21"/>
        </w:rPr>
      </w:pPr>
    </w:p>
    <w:p w14:paraId="019D03CA">
      <w:pPr>
        <w:pStyle w:val="32"/>
        <w:numPr>
          <w:ilvl w:val="0"/>
          <w:numId w:val="0"/>
        </w:numPr>
        <w:spacing w:beforeLines="0" w:afterLines="0"/>
        <w:jc w:val="center"/>
        <w:outlineLvl w:val="9"/>
        <w:rPr>
          <w:rFonts w:hint="eastAsia" w:ascii="宋体" w:eastAsia="宋体"/>
          <w:szCs w:val="21"/>
          <w:lang w:eastAsia="zh-CN"/>
        </w:rPr>
      </w:pPr>
      <w:r>
        <w:rPr>
          <w:rFonts w:hint="eastAsia" w:ascii="宋体" w:eastAsia="宋体"/>
          <w:szCs w:val="21"/>
        </w:rPr>
        <w:t>表B.3 固体废物浸出液的精密度和</w:t>
      </w:r>
      <w:r>
        <w:rPr>
          <w:rFonts w:hint="eastAsia" w:ascii="宋体" w:eastAsia="宋体"/>
          <w:szCs w:val="21"/>
          <w:lang w:eastAsia="zh-CN"/>
        </w:rPr>
        <w:t>正</w:t>
      </w:r>
      <w:r>
        <w:rPr>
          <w:rFonts w:hint="eastAsia" w:ascii="宋体" w:eastAsia="宋体"/>
          <w:szCs w:val="21"/>
        </w:rPr>
        <w:t>确度</w:t>
      </w:r>
      <w:r>
        <w:rPr>
          <w:rFonts w:hint="eastAsia" w:ascii="宋体" w:eastAsia="宋体"/>
          <w:szCs w:val="21"/>
          <w:lang w:eastAsia="zh-CN"/>
        </w:rPr>
        <w:t>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
        <w:gridCol w:w="646"/>
        <w:gridCol w:w="1004"/>
        <w:gridCol w:w="692"/>
        <w:gridCol w:w="1096"/>
        <w:gridCol w:w="1096"/>
        <w:gridCol w:w="1108"/>
        <w:gridCol w:w="1177"/>
        <w:gridCol w:w="1165"/>
        <w:gridCol w:w="1147"/>
      </w:tblGrid>
      <w:tr w14:paraId="50D08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 w:type="dxa"/>
            <w:vMerge w:val="restart"/>
            <w:vAlign w:val="center"/>
          </w:tcPr>
          <w:p w14:paraId="16002304">
            <w:pPr>
              <w:pStyle w:val="25"/>
              <w:ind w:firstLine="0" w:firstLineChars="0"/>
              <w:jc w:val="center"/>
              <w:rPr>
                <w:rFonts w:hint="eastAsia" w:ascii="宋体" w:hAnsi="宋体" w:eastAsia="宋体" w:cs="宋体"/>
                <w:sz w:val="21"/>
                <w:szCs w:val="21"/>
              </w:rPr>
            </w:pPr>
            <w:r>
              <w:rPr>
                <w:rFonts w:hint="eastAsia" w:ascii="宋体" w:hAnsi="宋体" w:eastAsia="宋体" w:cs="宋体"/>
                <w:sz w:val="21"/>
                <w:szCs w:val="21"/>
              </w:rPr>
              <w:t>元素</w:t>
            </w:r>
          </w:p>
        </w:tc>
        <w:tc>
          <w:tcPr>
            <w:tcW w:w="646" w:type="dxa"/>
            <w:vMerge w:val="restart"/>
            <w:vAlign w:val="center"/>
          </w:tcPr>
          <w:p w14:paraId="76B32962">
            <w:pPr>
              <w:pStyle w:val="25"/>
              <w:ind w:firstLine="0" w:firstLineChars="0"/>
              <w:jc w:val="center"/>
              <w:rPr>
                <w:rFonts w:hint="eastAsia" w:ascii="宋体" w:hAnsi="宋体" w:eastAsia="宋体" w:cs="宋体"/>
                <w:sz w:val="21"/>
                <w:szCs w:val="21"/>
              </w:rPr>
            </w:pPr>
            <w:r>
              <w:rPr>
                <w:rFonts w:hint="eastAsia" w:ascii="宋体" w:hAnsi="宋体" w:eastAsia="宋体" w:cs="宋体"/>
                <w:sz w:val="21"/>
                <w:szCs w:val="21"/>
              </w:rPr>
              <w:t>平均值µg/L</w:t>
            </w:r>
          </w:p>
        </w:tc>
        <w:tc>
          <w:tcPr>
            <w:tcW w:w="1004" w:type="dxa"/>
            <w:vMerge w:val="restart"/>
            <w:vAlign w:val="center"/>
          </w:tcPr>
          <w:p w14:paraId="6A1CA346">
            <w:pPr>
              <w:pStyle w:val="25"/>
              <w:ind w:firstLine="0" w:firstLineChars="0"/>
              <w:jc w:val="center"/>
              <w:rPr>
                <w:rFonts w:hint="eastAsia" w:ascii="宋体" w:hAnsi="宋体" w:eastAsia="宋体" w:cs="宋体"/>
                <w:sz w:val="21"/>
                <w:szCs w:val="21"/>
              </w:rPr>
            </w:pPr>
            <w:r>
              <w:rPr>
                <w:rFonts w:hint="eastAsia" w:ascii="宋体" w:hAnsi="宋体" w:eastAsia="宋体" w:cs="宋体"/>
                <w:sz w:val="21"/>
                <w:szCs w:val="21"/>
              </w:rPr>
              <w:t>实验室内相对</w:t>
            </w:r>
          </w:p>
          <w:p w14:paraId="7969129C">
            <w:pPr>
              <w:pStyle w:val="25"/>
              <w:ind w:firstLine="0" w:firstLineChars="0"/>
              <w:jc w:val="center"/>
              <w:rPr>
                <w:rFonts w:hint="eastAsia" w:ascii="宋体" w:hAnsi="宋体" w:eastAsia="宋体" w:cs="宋体"/>
                <w:sz w:val="21"/>
                <w:szCs w:val="21"/>
              </w:rPr>
            </w:pPr>
            <w:r>
              <w:rPr>
                <w:rFonts w:hint="eastAsia" w:ascii="宋体" w:hAnsi="宋体" w:eastAsia="宋体" w:cs="宋体"/>
                <w:sz w:val="21"/>
                <w:szCs w:val="21"/>
              </w:rPr>
              <w:t>偏差%</w:t>
            </w:r>
          </w:p>
        </w:tc>
        <w:tc>
          <w:tcPr>
            <w:tcW w:w="692" w:type="dxa"/>
            <w:vMerge w:val="restart"/>
            <w:vAlign w:val="center"/>
          </w:tcPr>
          <w:p w14:paraId="4AAF4723">
            <w:pPr>
              <w:pStyle w:val="25"/>
              <w:ind w:firstLine="0" w:firstLineChars="0"/>
              <w:jc w:val="center"/>
              <w:rPr>
                <w:rFonts w:hint="eastAsia" w:ascii="宋体" w:hAnsi="宋体" w:eastAsia="宋体" w:cs="宋体"/>
                <w:sz w:val="21"/>
                <w:szCs w:val="21"/>
              </w:rPr>
            </w:pPr>
            <w:r>
              <w:rPr>
                <w:rFonts w:hint="eastAsia" w:ascii="宋体" w:hAnsi="宋体" w:eastAsia="宋体" w:cs="宋体"/>
                <w:sz w:val="21"/>
                <w:szCs w:val="21"/>
              </w:rPr>
              <w:t>实验室间相对</w:t>
            </w:r>
          </w:p>
          <w:p w14:paraId="1F53F778">
            <w:pPr>
              <w:pStyle w:val="25"/>
              <w:ind w:firstLine="0" w:firstLineChars="0"/>
              <w:jc w:val="center"/>
              <w:rPr>
                <w:rFonts w:hint="eastAsia" w:ascii="宋体" w:hAnsi="宋体" w:eastAsia="宋体" w:cs="宋体"/>
                <w:sz w:val="21"/>
                <w:szCs w:val="21"/>
              </w:rPr>
            </w:pPr>
            <w:r>
              <w:rPr>
                <w:rFonts w:hint="eastAsia" w:ascii="宋体" w:hAnsi="宋体" w:eastAsia="宋体" w:cs="宋体"/>
                <w:sz w:val="21"/>
                <w:szCs w:val="21"/>
              </w:rPr>
              <w:t>偏差%</w:t>
            </w:r>
          </w:p>
        </w:tc>
        <w:tc>
          <w:tcPr>
            <w:tcW w:w="3300" w:type="dxa"/>
            <w:gridSpan w:val="3"/>
            <w:vAlign w:val="center"/>
          </w:tcPr>
          <w:p w14:paraId="10A18C4E">
            <w:pPr>
              <w:pStyle w:val="25"/>
              <w:ind w:firstLine="0" w:firstLineChars="0"/>
              <w:jc w:val="center"/>
              <w:rPr>
                <w:rFonts w:hint="eastAsia" w:ascii="宋体" w:hAnsi="宋体" w:eastAsia="宋体" w:cs="宋体"/>
                <w:sz w:val="21"/>
                <w:szCs w:val="21"/>
              </w:rPr>
            </w:pPr>
            <w:r>
              <w:rPr>
                <w:rFonts w:hint="eastAsia" w:ascii="宋体" w:hAnsi="宋体" w:eastAsia="宋体" w:cs="宋体"/>
                <w:sz w:val="21"/>
                <w:szCs w:val="21"/>
              </w:rPr>
              <w:t>实验室内加标回收率%</w:t>
            </w:r>
          </w:p>
        </w:tc>
        <w:tc>
          <w:tcPr>
            <w:tcW w:w="3489" w:type="dxa"/>
            <w:gridSpan w:val="3"/>
            <w:vAlign w:val="center"/>
          </w:tcPr>
          <w:p w14:paraId="13BF7152">
            <w:pPr>
              <w:pStyle w:val="25"/>
              <w:ind w:firstLine="0" w:firstLineChars="0"/>
              <w:jc w:val="center"/>
              <w:rPr>
                <w:rFonts w:hint="eastAsia" w:ascii="宋体" w:hAnsi="宋体" w:eastAsia="宋体" w:cs="宋体"/>
                <w:sz w:val="21"/>
                <w:szCs w:val="21"/>
              </w:rPr>
            </w:pPr>
            <w:r>
              <w:rPr>
                <w:rFonts w:hint="eastAsia" w:ascii="宋体" w:hAnsi="宋体" w:eastAsia="宋体" w:cs="宋体"/>
                <w:sz w:val="21"/>
                <w:szCs w:val="21"/>
              </w:rPr>
              <w:t>实验室间加标回收率%</w:t>
            </w:r>
          </w:p>
        </w:tc>
      </w:tr>
      <w:tr w14:paraId="6DAC3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 w:type="dxa"/>
            <w:vMerge w:val="continue"/>
            <w:vAlign w:val="center"/>
          </w:tcPr>
          <w:p w14:paraId="2CDD7206">
            <w:pPr>
              <w:pStyle w:val="25"/>
              <w:ind w:firstLine="0" w:firstLineChars="0"/>
              <w:jc w:val="center"/>
              <w:rPr>
                <w:rFonts w:hint="eastAsia" w:ascii="宋体" w:hAnsi="宋体" w:eastAsia="宋体" w:cs="宋体"/>
                <w:sz w:val="21"/>
                <w:szCs w:val="21"/>
              </w:rPr>
            </w:pPr>
          </w:p>
        </w:tc>
        <w:tc>
          <w:tcPr>
            <w:tcW w:w="646" w:type="dxa"/>
            <w:vMerge w:val="continue"/>
            <w:vAlign w:val="center"/>
          </w:tcPr>
          <w:p w14:paraId="1BD4CEEB">
            <w:pPr>
              <w:pStyle w:val="25"/>
              <w:ind w:firstLine="0" w:firstLineChars="0"/>
              <w:jc w:val="center"/>
              <w:rPr>
                <w:rFonts w:hint="eastAsia" w:ascii="宋体" w:hAnsi="宋体" w:eastAsia="宋体" w:cs="宋体"/>
                <w:sz w:val="21"/>
                <w:szCs w:val="21"/>
              </w:rPr>
            </w:pPr>
          </w:p>
        </w:tc>
        <w:tc>
          <w:tcPr>
            <w:tcW w:w="1004" w:type="dxa"/>
            <w:vMerge w:val="continue"/>
            <w:vAlign w:val="center"/>
          </w:tcPr>
          <w:p w14:paraId="564434D3">
            <w:pPr>
              <w:pStyle w:val="25"/>
              <w:ind w:firstLine="0" w:firstLineChars="0"/>
              <w:jc w:val="center"/>
              <w:rPr>
                <w:rFonts w:hint="eastAsia" w:ascii="宋体" w:hAnsi="宋体" w:eastAsia="宋体" w:cs="宋体"/>
                <w:sz w:val="21"/>
                <w:szCs w:val="21"/>
              </w:rPr>
            </w:pPr>
          </w:p>
        </w:tc>
        <w:tc>
          <w:tcPr>
            <w:tcW w:w="692" w:type="dxa"/>
            <w:vMerge w:val="continue"/>
            <w:vAlign w:val="center"/>
          </w:tcPr>
          <w:p w14:paraId="014B7CB0">
            <w:pPr>
              <w:pStyle w:val="25"/>
              <w:ind w:firstLine="0" w:firstLineChars="0"/>
              <w:jc w:val="center"/>
              <w:rPr>
                <w:rFonts w:hint="eastAsia" w:ascii="宋体" w:hAnsi="宋体" w:eastAsia="宋体" w:cs="宋体"/>
                <w:sz w:val="21"/>
                <w:szCs w:val="21"/>
              </w:rPr>
            </w:pPr>
          </w:p>
        </w:tc>
        <w:tc>
          <w:tcPr>
            <w:tcW w:w="1096" w:type="dxa"/>
            <w:vAlign w:val="center"/>
          </w:tcPr>
          <w:p w14:paraId="6B619D44">
            <w:pPr>
              <w:pStyle w:val="25"/>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eastAsia="zh-CN"/>
              </w:rPr>
              <w:t>加标量</w:t>
            </w:r>
            <w:r>
              <w:rPr>
                <w:rFonts w:hint="eastAsia" w:ascii="宋体" w:hAnsi="宋体" w:eastAsia="宋体" w:cs="宋体"/>
                <w:sz w:val="21"/>
                <w:szCs w:val="21"/>
                <w:lang w:val="en-US" w:eastAsia="zh-CN"/>
              </w:rPr>
              <w:t>20</w:t>
            </w:r>
            <w:r>
              <w:rPr>
                <w:rFonts w:hint="eastAsia" w:ascii="宋体" w:hAnsi="宋体" w:eastAsia="宋体" w:cs="宋体"/>
                <w:sz w:val="21"/>
                <w:szCs w:val="21"/>
              </w:rPr>
              <w:t>µg/L</w:t>
            </w:r>
          </w:p>
        </w:tc>
        <w:tc>
          <w:tcPr>
            <w:tcW w:w="1096" w:type="dxa"/>
            <w:vAlign w:val="center"/>
          </w:tcPr>
          <w:p w14:paraId="37E06FF2">
            <w:pPr>
              <w:pStyle w:val="25"/>
              <w:ind w:firstLine="0" w:firstLineChars="0"/>
              <w:jc w:val="center"/>
              <w:rPr>
                <w:rFonts w:hint="eastAsia" w:ascii="宋体" w:hAnsi="宋体" w:eastAsia="宋体" w:cs="宋体"/>
                <w:sz w:val="21"/>
                <w:szCs w:val="21"/>
              </w:rPr>
            </w:pPr>
            <w:r>
              <w:rPr>
                <w:rFonts w:hint="eastAsia" w:ascii="宋体" w:hAnsi="宋体" w:eastAsia="宋体" w:cs="宋体"/>
                <w:sz w:val="21"/>
                <w:szCs w:val="21"/>
                <w:lang w:eastAsia="zh-CN"/>
              </w:rPr>
              <w:t>加标量</w:t>
            </w:r>
            <w:r>
              <w:rPr>
                <w:rFonts w:hint="eastAsia" w:ascii="宋体" w:hAnsi="宋体" w:eastAsia="宋体" w:cs="宋体"/>
                <w:sz w:val="21"/>
                <w:szCs w:val="21"/>
                <w:lang w:val="en-US" w:eastAsia="zh-CN"/>
              </w:rPr>
              <w:t>100</w:t>
            </w:r>
            <w:r>
              <w:rPr>
                <w:rFonts w:hint="eastAsia" w:ascii="宋体" w:hAnsi="宋体" w:eastAsia="宋体" w:cs="宋体"/>
                <w:sz w:val="21"/>
                <w:szCs w:val="21"/>
              </w:rPr>
              <w:t>µg/L</w:t>
            </w:r>
          </w:p>
        </w:tc>
        <w:tc>
          <w:tcPr>
            <w:tcW w:w="1108" w:type="dxa"/>
            <w:vAlign w:val="center"/>
          </w:tcPr>
          <w:p w14:paraId="068466BF">
            <w:pPr>
              <w:pStyle w:val="25"/>
              <w:ind w:firstLine="0" w:firstLineChars="0"/>
              <w:jc w:val="center"/>
              <w:rPr>
                <w:rFonts w:hint="eastAsia" w:ascii="宋体" w:hAnsi="宋体" w:eastAsia="宋体" w:cs="宋体"/>
                <w:sz w:val="21"/>
                <w:szCs w:val="21"/>
              </w:rPr>
            </w:pPr>
            <w:r>
              <w:rPr>
                <w:rFonts w:hint="eastAsia" w:ascii="宋体" w:hAnsi="宋体" w:eastAsia="宋体" w:cs="宋体"/>
                <w:sz w:val="21"/>
                <w:szCs w:val="21"/>
                <w:lang w:eastAsia="zh-CN"/>
              </w:rPr>
              <w:t>加标量</w:t>
            </w:r>
            <w:r>
              <w:rPr>
                <w:rFonts w:hint="eastAsia" w:ascii="宋体" w:hAnsi="宋体" w:eastAsia="宋体" w:cs="宋体"/>
                <w:sz w:val="21"/>
                <w:szCs w:val="21"/>
                <w:lang w:val="en-US" w:eastAsia="zh-CN"/>
              </w:rPr>
              <w:t>500</w:t>
            </w:r>
            <w:r>
              <w:rPr>
                <w:rFonts w:hint="eastAsia" w:ascii="宋体" w:hAnsi="宋体" w:eastAsia="宋体" w:cs="宋体"/>
                <w:sz w:val="21"/>
                <w:szCs w:val="21"/>
              </w:rPr>
              <w:t>µg/L</w:t>
            </w:r>
          </w:p>
        </w:tc>
        <w:tc>
          <w:tcPr>
            <w:tcW w:w="1177" w:type="dxa"/>
            <w:vAlign w:val="center"/>
          </w:tcPr>
          <w:p w14:paraId="057DC484">
            <w:pPr>
              <w:pStyle w:val="25"/>
              <w:ind w:firstLine="0" w:firstLineChars="0"/>
              <w:jc w:val="center"/>
              <w:rPr>
                <w:rFonts w:hint="eastAsia" w:ascii="宋体" w:hAnsi="宋体" w:eastAsia="宋体" w:cs="宋体"/>
                <w:sz w:val="21"/>
                <w:szCs w:val="21"/>
              </w:rPr>
            </w:pPr>
            <w:r>
              <w:rPr>
                <w:rFonts w:hint="eastAsia" w:ascii="宋体" w:hAnsi="宋体" w:eastAsia="宋体" w:cs="宋体"/>
                <w:sz w:val="21"/>
                <w:szCs w:val="21"/>
                <w:lang w:eastAsia="zh-CN"/>
              </w:rPr>
              <w:t>加标量</w:t>
            </w:r>
            <w:r>
              <w:rPr>
                <w:rFonts w:hint="eastAsia" w:ascii="宋体" w:hAnsi="宋体" w:eastAsia="宋体" w:cs="宋体"/>
                <w:sz w:val="21"/>
                <w:szCs w:val="21"/>
                <w:lang w:val="en-US" w:eastAsia="zh-CN"/>
              </w:rPr>
              <w:t>20</w:t>
            </w:r>
            <w:r>
              <w:rPr>
                <w:rFonts w:hint="eastAsia" w:ascii="宋体" w:hAnsi="宋体" w:eastAsia="宋体" w:cs="宋体"/>
                <w:sz w:val="21"/>
                <w:szCs w:val="21"/>
              </w:rPr>
              <w:t>µg/L</w:t>
            </w:r>
          </w:p>
        </w:tc>
        <w:tc>
          <w:tcPr>
            <w:tcW w:w="1165" w:type="dxa"/>
            <w:vAlign w:val="center"/>
          </w:tcPr>
          <w:p w14:paraId="5B6893C3">
            <w:pPr>
              <w:pStyle w:val="25"/>
              <w:ind w:firstLine="0" w:firstLineChars="0"/>
              <w:jc w:val="center"/>
              <w:rPr>
                <w:rFonts w:hint="eastAsia" w:ascii="宋体" w:hAnsi="宋体" w:eastAsia="宋体" w:cs="宋体"/>
                <w:sz w:val="21"/>
                <w:szCs w:val="21"/>
              </w:rPr>
            </w:pPr>
            <w:r>
              <w:rPr>
                <w:rFonts w:hint="eastAsia" w:ascii="宋体" w:hAnsi="宋体" w:eastAsia="宋体" w:cs="宋体"/>
                <w:sz w:val="21"/>
                <w:szCs w:val="21"/>
                <w:lang w:eastAsia="zh-CN"/>
              </w:rPr>
              <w:t>加标量</w:t>
            </w:r>
            <w:r>
              <w:rPr>
                <w:rFonts w:hint="eastAsia" w:ascii="宋体" w:hAnsi="宋体" w:eastAsia="宋体" w:cs="宋体"/>
                <w:sz w:val="21"/>
                <w:szCs w:val="21"/>
                <w:lang w:val="en-US" w:eastAsia="zh-CN"/>
              </w:rPr>
              <w:t>100</w:t>
            </w:r>
            <w:r>
              <w:rPr>
                <w:rFonts w:hint="eastAsia" w:ascii="宋体" w:hAnsi="宋体" w:eastAsia="宋体" w:cs="宋体"/>
                <w:sz w:val="21"/>
                <w:szCs w:val="21"/>
              </w:rPr>
              <w:t>µg/L</w:t>
            </w:r>
          </w:p>
        </w:tc>
        <w:tc>
          <w:tcPr>
            <w:tcW w:w="1147" w:type="dxa"/>
            <w:vAlign w:val="center"/>
          </w:tcPr>
          <w:p w14:paraId="6931F558">
            <w:pPr>
              <w:pStyle w:val="25"/>
              <w:ind w:firstLine="0" w:firstLineChars="0"/>
              <w:jc w:val="center"/>
              <w:rPr>
                <w:rFonts w:hint="eastAsia" w:ascii="宋体" w:hAnsi="宋体" w:eastAsia="宋体" w:cs="宋体"/>
                <w:sz w:val="21"/>
                <w:szCs w:val="21"/>
              </w:rPr>
            </w:pPr>
            <w:r>
              <w:rPr>
                <w:rFonts w:hint="eastAsia" w:ascii="宋体" w:hAnsi="宋体" w:eastAsia="宋体" w:cs="宋体"/>
                <w:sz w:val="21"/>
                <w:szCs w:val="21"/>
                <w:lang w:eastAsia="zh-CN"/>
              </w:rPr>
              <w:t>加标量</w:t>
            </w:r>
            <w:r>
              <w:rPr>
                <w:rFonts w:hint="eastAsia" w:ascii="宋体" w:hAnsi="宋体" w:eastAsia="宋体" w:cs="宋体"/>
                <w:sz w:val="21"/>
                <w:szCs w:val="21"/>
                <w:lang w:val="en-US" w:eastAsia="zh-CN"/>
              </w:rPr>
              <w:t>500</w:t>
            </w:r>
            <w:r>
              <w:rPr>
                <w:rFonts w:hint="eastAsia" w:ascii="宋体" w:hAnsi="宋体" w:eastAsia="宋体" w:cs="宋体"/>
                <w:sz w:val="21"/>
                <w:szCs w:val="21"/>
              </w:rPr>
              <w:t>µg/L</w:t>
            </w:r>
          </w:p>
        </w:tc>
      </w:tr>
      <w:tr w14:paraId="217BE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 w:type="dxa"/>
            <w:vAlign w:val="center"/>
          </w:tcPr>
          <w:p w14:paraId="3A0EA241">
            <w:pPr>
              <w:pStyle w:val="25"/>
              <w:ind w:firstLine="0" w:firstLineChars="0"/>
              <w:jc w:val="center"/>
              <w:rPr>
                <w:rFonts w:hint="eastAsia" w:ascii="宋体" w:hAnsi="宋体" w:eastAsia="宋体" w:cs="宋体"/>
                <w:sz w:val="18"/>
                <w:szCs w:val="18"/>
              </w:rPr>
            </w:pPr>
            <w:r>
              <w:rPr>
                <w:rFonts w:hint="eastAsia" w:ascii="宋体" w:hAnsi="宋体" w:eastAsia="宋体" w:cs="宋体"/>
                <w:sz w:val="18"/>
                <w:szCs w:val="18"/>
              </w:rPr>
              <w:t>铀</w:t>
            </w:r>
          </w:p>
        </w:tc>
        <w:tc>
          <w:tcPr>
            <w:tcW w:w="646" w:type="dxa"/>
            <w:vAlign w:val="center"/>
          </w:tcPr>
          <w:p w14:paraId="2299F9E6">
            <w:pPr>
              <w:pStyle w:val="25"/>
              <w:ind w:left="0" w:leftChars="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112</w:t>
            </w:r>
          </w:p>
        </w:tc>
        <w:tc>
          <w:tcPr>
            <w:tcW w:w="1004" w:type="dxa"/>
            <w:vAlign w:val="center"/>
          </w:tcPr>
          <w:p w14:paraId="2DCFCC69">
            <w:pPr>
              <w:pStyle w:val="25"/>
              <w:ind w:left="0" w:leftChars="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0.8</w:t>
            </w:r>
            <w:r>
              <w:rPr>
                <w:rFonts w:hint="default" w:ascii="Times New Roman" w:hAnsi="Times New Roman" w:eastAsia="宋体" w:cs="Times New Roman"/>
                <w:sz w:val="18"/>
                <w:szCs w:val="18"/>
                <w:lang w:val="en-US" w:eastAsia="zh-CN"/>
              </w:rPr>
              <w:t>~</w:t>
            </w:r>
            <w:r>
              <w:rPr>
                <w:rFonts w:hint="eastAsia" w:ascii="宋体" w:hAnsi="宋体" w:eastAsia="宋体" w:cs="宋体"/>
                <w:sz w:val="18"/>
                <w:szCs w:val="18"/>
                <w:lang w:val="en-US" w:eastAsia="zh-CN"/>
              </w:rPr>
              <w:t>3.9</w:t>
            </w:r>
          </w:p>
        </w:tc>
        <w:tc>
          <w:tcPr>
            <w:tcW w:w="692" w:type="dxa"/>
            <w:vAlign w:val="center"/>
          </w:tcPr>
          <w:p w14:paraId="51D57F98">
            <w:pPr>
              <w:pStyle w:val="25"/>
              <w:ind w:left="0" w:leftChars="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4.0</w:t>
            </w:r>
          </w:p>
        </w:tc>
        <w:tc>
          <w:tcPr>
            <w:tcW w:w="1096" w:type="dxa"/>
            <w:vAlign w:val="center"/>
          </w:tcPr>
          <w:p w14:paraId="62D3E510">
            <w:pPr>
              <w:pStyle w:val="25"/>
              <w:ind w:left="0" w:leftChars="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90.0</w:t>
            </w:r>
            <w:r>
              <w:rPr>
                <w:rFonts w:hint="default" w:ascii="Times New Roman" w:hAnsi="Times New Roman" w:eastAsia="宋体" w:cs="Times New Roman"/>
                <w:sz w:val="18"/>
                <w:szCs w:val="18"/>
                <w:lang w:val="en-US" w:eastAsia="zh-CN"/>
              </w:rPr>
              <w:t>~</w:t>
            </w:r>
            <w:r>
              <w:rPr>
                <w:rFonts w:hint="eastAsia" w:ascii="宋体" w:hAnsi="宋体" w:eastAsia="宋体" w:cs="宋体"/>
                <w:sz w:val="18"/>
                <w:szCs w:val="18"/>
                <w:lang w:val="en-US" w:eastAsia="zh-CN"/>
              </w:rPr>
              <w:t>105</w:t>
            </w:r>
          </w:p>
        </w:tc>
        <w:tc>
          <w:tcPr>
            <w:tcW w:w="1096" w:type="dxa"/>
            <w:vAlign w:val="center"/>
          </w:tcPr>
          <w:p w14:paraId="3A1DD821">
            <w:pPr>
              <w:pStyle w:val="25"/>
              <w:ind w:left="0" w:leftChars="0" w:firstLine="0" w:firstLineChars="0"/>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95.9</w:t>
            </w:r>
            <w:r>
              <w:rPr>
                <w:rFonts w:hint="default" w:ascii="Times New Roman" w:hAnsi="Times New Roman" w:eastAsia="宋体" w:cs="Times New Roman"/>
                <w:sz w:val="18"/>
                <w:szCs w:val="18"/>
                <w:lang w:val="en-US" w:eastAsia="zh-CN"/>
              </w:rPr>
              <w:t>~</w:t>
            </w:r>
            <w:r>
              <w:rPr>
                <w:rFonts w:hint="eastAsia" w:ascii="宋体" w:hAnsi="宋体" w:eastAsia="宋体" w:cs="宋体"/>
                <w:sz w:val="18"/>
                <w:szCs w:val="18"/>
                <w:lang w:val="en-US" w:eastAsia="zh-CN"/>
              </w:rPr>
              <w:t>105</w:t>
            </w:r>
          </w:p>
        </w:tc>
        <w:tc>
          <w:tcPr>
            <w:tcW w:w="1108" w:type="dxa"/>
            <w:vAlign w:val="center"/>
          </w:tcPr>
          <w:p w14:paraId="483E872E">
            <w:pPr>
              <w:pStyle w:val="25"/>
              <w:ind w:left="0" w:leftChars="0" w:firstLine="0" w:firstLineChars="0"/>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98.6</w:t>
            </w:r>
            <w:r>
              <w:rPr>
                <w:rFonts w:hint="default" w:ascii="Times New Roman" w:hAnsi="Times New Roman" w:eastAsia="宋体" w:cs="Times New Roman"/>
                <w:sz w:val="18"/>
                <w:szCs w:val="18"/>
                <w:lang w:val="en-US" w:eastAsia="zh-CN"/>
              </w:rPr>
              <w:t>~</w:t>
            </w:r>
            <w:r>
              <w:rPr>
                <w:rFonts w:hint="eastAsia" w:ascii="宋体" w:hAnsi="宋体" w:eastAsia="宋体" w:cs="宋体"/>
                <w:sz w:val="18"/>
                <w:szCs w:val="18"/>
                <w:lang w:val="en-US" w:eastAsia="zh-CN"/>
              </w:rPr>
              <w:t>106</w:t>
            </w:r>
          </w:p>
        </w:tc>
        <w:tc>
          <w:tcPr>
            <w:tcW w:w="1177" w:type="dxa"/>
            <w:vAlign w:val="center"/>
          </w:tcPr>
          <w:p w14:paraId="0A605632">
            <w:pPr>
              <w:pStyle w:val="25"/>
              <w:ind w:left="0" w:leftChars="0" w:firstLine="0" w:firstLineChars="0"/>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96.8±12.4</w:t>
            </w:r>
          </w:p>
        </w:tc>
        <w:tc>
          <w:tcPr>
            <w:tcW w:w="1165" w:type="dxa"/>
            <w:vAlign w:val="center"/>
          </w:tcPr>
          <w:p w14:paraId="463CD27F">
            <w:pPr>
              <w:pStyle w:val="25"/>
              <w:ind w:left="0" w:leftChars="0" w:firstLine="0" w:firstLineChars="0"/>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100±7.28</w:t>
            </w:r>
          </w:p>
        </w:tc>
        <w:tc>
          <w:tcPr>
            <w:tcW w:w="1147" w:type="dxa"/>
            <w:vAlign w:val="center"/>
          </w:tcPr>
          <w:p w14:paraId="25EBDFD6">
            <w:pPr>
              <w:pStyle w:val="25"/>
              <w:ind w:left="0" w:leftChars="0" w:firstLine="0" w:firstLineChars="0"/>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101±5.20</w:t>
            </w:r>
          </w:p>
        </w:tc>
      </w:tr>
      <w:tr w14:paraId="6BAE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 w:type="dxa"/>
            <w:vAlign w:val="center"/>
          </w:tcPr>
          <w:p w14:paraId="160B39BC">
            <w:pPr>
              <w:pStyle w:val="25"/>
              <w:ind w:firstLine="0" w:firstLineChars="0"/>
              <w:jc w:val="center"/>
              <w:rPr>
                <w:rFonts w:hint="eastAsia" w:ascii="宋体" w:hAnsi="宋体" w:eastAsia="宋体" w:cs="宋体"/>
                <w:sz w:val="18"/>
                <w:szCs w:val="18"/>
              </w:rPr>
            </w:pPr>
            <w:r>
              <w:rPr>
                <w:rFonts w:hint="eastAsia" w:ascii="宋体" w:hAnsi="宋体" w:eastAsia="宋体" w:cs="宋体"/>
                <w:sz w:val="18"/>
                <w:szCs w:val="18"/>
              </w:rPr>
              <w:t>钍</w:t>
            </w:r>
          </w:p>
        </w:tc>
        <w:tc>
          <w:tcPr>
            <w:tcW w:w="646" w:type="dxa"/>
            <w:vAlign w:val="center"/>
          </w:tcPr>
          <w:p w14:paraId="731BE579">
            <w:pPr>
              <w:pStyle w:val="25"/>
              <w:ind w:left="0" w:leftChars="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79.4</w:t>
            </w:r>
          </w:p>
        </w:tc>
        <w:tc>
          <w:tcPr>
            <w:tcW w:w="1004" w:type="dxa"/>
            <w:vAlign w:val="center"/>
          </w:tcPr>
          <w:p w14:paraId="7D45E0BB">
            <w:pPr>
              <w:pStyle w:val="25"/>
              <w:ind w:left="0" w:leftChars="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1.1</w:t>
            </w:r>
            <w:r>
              <w:rPr>
                <w:rFonts w:hint="default" w:ascii="Times New Roman" w:hAnsi="Times New Roman" w:eastAsia="宋体" w:cs="Times New Roman"/>
                <w:sz w:val="18"/>
                <w:szCs w:val="18"/>
                <w:lang w:val="en-US" w:eastAsia="zh-CN"/>
              </w:rPr>
              <w:t>~</w:t>
            </w:r>
            <w:r>
              <w:rPr>
                <w:rFonts w:hint="eastAsia" w:ascii="宋体" w:hAnsi="宋体" w:eastAsia="宋体" w:cs="宋体"/>
                <w:sz w:val="18"/>
                <w:szCs w:val="18"/>
                <w:lang w:val="en-US" w:eastAsia="zh-CN"/>
              </w:rPr>
              <w:t>4.3</w:t>
            </w:r>
          </w:p>
        </w:tc>
        <w:tc>
          <w:tcPr>
            <w:tcW w:w="692" w:type="dxa"/>
            <w:vAlign w:val="center"/>
          </w:tcPr>
          <w:p w14:paraId="691B4972">
            <w:pPr>
              <w:pStyle w:val="25"/>
              <w:ind w:left="0" w:leftChars="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3.8</w:t>
            </w:r>
          </w:p>
        </w:tc>
        <w:tc>
          <w:tcPr>
            <w:tcW w:w="1096" w:type="dxa"/>
            <w:vAlign w:val="center"/>
          </w:tcPr>
          <w:p w14:paraId="578E077F">
            <w:pPr>
              <w:pStyle w:val="25"/>
              <w:ind w:left="0" w:leftChars="0" w:firstLine="0" w:firstLineChars="0"/>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93.5</w:t>
            </w:r>
            <w:r>
              <w:rPr>
                <w:rFonts w:hint="default" w:ascii="Times New Roman" w:hAnsi="Times New Roman" w:eastAsia="宋体" w:cs="Times New Roman"/>
                <w:sz w:val="18"/>
                <w:szCs w:val="18"/>
                <w:lang w:val="en-US" w:eastAsia="zh-CN"/>
              </w:rPr>
              <w:t>~</w:t>
            </w:r>
            <w:r>
              <w:rPr>
                <w:rFonts w:hint="eastAsia" w:ascii="宋体" w:hAnsi="宋体" w:eastAsia="宋体" w:cs="宋体"/>
                <w:sz w:val="18"/>
                <w:szCs w:val="18"/>
                <w:lang w:val="en-US" w:eastAsia="zh-CN"/>
              </w:rPr>
              <w:t>109</w:t>
            </w:r>
          </w:p>
        </w:tc>
        <w:tc>
          <w:tcPr>
            <w:tcW w:w="1096" w:type="dxa"/>
            <w:vAlign w:val="center"/>
          </w:tcPr>
          <w:p w14:paraId="145FE3AC">
            <w:pPr>
              <w:pStyle w:val="25"/>
              <w:ind w:left="0" w:leftChars="0" w:firstLine="0" w:firstLineChars="0"/>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96.3</w:t>
            </w:r>
            <w:r>
              <w:rPr>
                <w:rFonts w:hint="default" w:ascii="Times New Roman" w:hAnsi="Times New Roman" w:eastAsia="宋体" w:cs="Times New Roman"/>
                <w:sz w:val="18"/>
                <w:szCs w:val="18"/>
                <w:lang w:val="en-US" w:eastAsia="zh-CN"/>
              </w:rPr>
              <w:t>~</w:t>
            </w:r>
            <w:r>
              <w:rPr>
                <w:rFonts w:hint="eastAsia" w:ascii="宋体" w:hAnsi="宋体" w:eastAsia="宋体" w:cs="宋体"/>
                <w:sz w:val="18"/>
                <w:szCs w:val="18"/>
                <w:lang w:val="en-US" w:eastAsia="zh-CN"/>
              </w:rPr>
              <w:t>107</w:t>
            </w:r>
          </w:p>
        </w:tc>
        <w:tc>
          <w:tcPr>
            <w:tcW w:w="1108" w:type="dxa"/>
            <w:vAlign w:val="center"/>
          </w:tcPr>
          <w:p w14:paraId="544442EA">
            <w:pPr>
              <w:pStyle w:val="25"/>
              <w:ind w:left="0" w:leftChars="0" w:firstLine="0" w:firstLineChars="0"/>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100</w:t>
            </w:r>
            <w:r>
              <w:rPr>
                <w:rFonts w:hint="default" w:ascii="Times New Roman" w:hAnsi="Times New Roman" w:eastAsia="宋体" w:cs="Times New Roman"/>
                <w:sz w:val="18"/>
                <w:szCs w:val="18"/>
                <w:lang w:val="en-US" w:eastAsia="zh-CN"/>
              </w:rPr>
              <w:t>~</w:t>
            </w:r>
            <w:r>
              <w:rPr>
                <w:rFonts w:hint="eastAsia" w:ascii="宋体" w:hAnsi="宋体" w:eastAsia="宋体" w:cs="宋体"/>
                <w:sz w:val="18"/>
                <w:szCs w:val="18"/>
                <w:lang w:val="en-US" w:eastAsia="zh-CN"/>
              </w:rPr>
              <w:t>111</w:t>
            </w:r>
          </w:p>
        </w:tc>
        <w:tc>
          <w:tcPr>
            <w:tcW w:w="1177" w:type="dxa"/>
            <w:vAlign w:val="center"/>
          </w:tcPr>
          <w:p w14:paraId="208B0450">
            <w:pPr>
              <w:pStyle w:val="25"/>
              <w:ind w:left="0" w:leftChars="0" w:firstLine="0" w:firstLineChars="0"/>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101±13.5</w:t>
            </w:r>
          </w:p>
        </w:tc>
        <w:tc>
          <w:tcPr>
            <w:tcW w:w="1165" w:type="dxa"/>
            <w:vAlign w:val="center"/>
          </w:tcPr>
          <w:p w14:paraId="27A15FF1">
            <w:pPr>
              <w:pStyle w:val="25"/>
              <w:ind w:left="0" w:leftChars="0" w:firstLine="0" w:firstLineChars="0"/>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104±8.25</w:t>
            </w:r>
          </w:p>
        </w:tc>
        <w:tc>
          <w:tcPr>
            <w:tcW w:w="1147" w:type="dxa"/>
            <w:vAlign w:val="center"/>
          </w:tcPr>
          <w:p w14:paraId="5EE8DBE6">
            <w:pPr>
              <w:pStyle w:val="25"/>
              <w:ind w:left="0" w:leftChars="0" w:firstLine="0" w:firstLineChars="0"/>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104±7.87</w:t>
            </w:r>
          </w:p>
        </w:tc>
      </w:tr>
    </w:tbl>
    <w:p w14:paraId="1397A325">
      <w:pPr>
        <w:pStyle w:val="25"/>
      </w:pPr>
    </w:p>
    <w:p w14:paraId="226CDC2F">
      <w:pPr>
        <w:pStyle w:val="25"/>
      </w:pPr>
    </w:p>
    <w:p w14:paraId="4A3733F4">
      <w:pPr>
        <w:pStyle w:val="25"/>
      </w:pPr>
    </w:p>
    <w:p w14:paraId="3A7A3DA7">
      <w:pPr>
        <w:pStyle w:val="25"/>
      </w:pPr>
    </w:p>
    <w:p w14:paraId="58E560F2">
      <w:pPr>
        <w:pStyle w:val="25"/>
      </w:pPr>
    </w:p>
    <w:p w14:paraId="7AB68F46">
      <w:pPr>
        <w:pStyle w:val="25"/>
      </w:pPr>
    </w:p>
    <w:p w14:paraId="411BC8ED">
      <w:pPr>
        <w:pStyle w:val="25"/>
      </w:pPr>
    </w:p>
    <w:p w14:paraId="4B37FA29">
      <w:pPr>
        <w:pStyle w:val="25"/>
      </w:pPr>
    </w:p>
    <w:p w14:paraId="6C8D0FC4">
      <w:pPr>
        <w:pStyle w:val="25"/>
      </w:pPr>
    </w:p>
    <w:p w14:paraId="795C680B">
      <w:pPr>
        <w:pStyle w:val="25"/>
      </w:pPr>
    </w:p>
    <w:p w14:paraId="4EE80FD0">
      <w:pPr>
        <w:pStyle w:val="25"/>
      </w:pPr>
    </w:p>
    <w:p w14:paraId="534D6210">
      <w:pPr>
        <w:pStyle w:val="25"/>
      </w:pPr>
    </w:p>
    <w:p w14:paraId="18540B7C">
      <w:pPr>
        <w:pStyle w:val="32"/>
        <w:numPr>
          <w:ilvl w:val="0"/>
          <w:numId w:val="0"/>
        </w:numPr>
        <w:spacing w:beforeLines="0" w:afterLines="0"/>
        <w:jc w:val="center"/>
        <w:outlineLvl w:val="0"/>
        <w:rPr>
          <w:rFonts w:ascii="宋体" w:eastAsia="宋体"/>
          <w:szCs w:val="21"/>
        </w:rPr>
      </w:pPr>
      <w:r>
        <w:rPr>
          <w:rFonts w:hint="eastAsia" w:ascii="宋体" w:eastAsia="宋体"/>
          <w:szCs w:val="21"/>
        </w:rPr>
        <w:t>附录C</w:t>
      </w:r>
    </w:p>
    <w:p w14:paraId="273A83A7">
      <w:pPr>
        <w:pStyle w:val="32"/>
        <w:numPr>
          <w:ilvl w:val="0"/>
          <w:numId w:val="0"/>
        </w:numPr>
        <w:spacing w:beforeLines="0" w:afterLines="0"/>
        <w:jc w:val="center"/>
        <w:outlineLvl w:val="0"/>
        <w:rPr>
          <w:rFonts w:ascii="宋体" w:eastAsia="宋体"/>
          <w:szCs w:val="21"/>
        </w:rPr>
      </w:pPr>
      <w:r>
        <w:rPr>
          <w:rFonts w:hint="eastAsia" w:ascii="宋体" w:eastAsia="宋体"/>
          <w:szCs w:val="21"/>
        </w:rPr>
        <w:t>（资料性）</w:t>
      </w:r>
    </w:p>
    <w:p w14:paraId="54BB1C08">
      <w:pPr>
        <w:pStyle w:val="25"/>
        <w:jc w:val="center"/>
        <w:outlineLvl w:val="0"/>
        <w:rPr>
          <w:rFonts w:hint="eastAsia"/>
          <w:szCs w:val="21"/>
        </w:rPr>
      </w:pPr>
      <w:r>
        <w:rPr>
          <w:rFonts w:hint="eastAsia"/>
          <w:szCs w:val="21"/>
        </w:rPr>
        <w:t>重复分析相对偏差允许限</w:t>
      </w:r>
    </w:p>
    <w:p w14:paraId="24BB2D99">
      <w:pPr>
        <w:pStyle w:val="25"/>
        <w:jc w:val="center"/>
        <w:outlineLvl w:val="0"/>
        <w:rPr>
          <w:rFonts w:hint="eastAsia"/>
          <w:szCs w:val="21"/>
        </w:rPr>
      </w:pPr>
    </w:p>
    <w:p w14:paraId="381F0038">
      <w:pPr>
        <w:pStyle w:val="25"/>
        <w:jc w:val="left"/>
        <w:outlineLvl w:val="0"/>
        <w:rPr>
          <w:rFonts w:hint="eastAsia" w:eastAsia="宋体"/>
          <w:szCs w:val="21"/>
          <w:lang w:eastAsia="zh-CN"/>
        </w:rPr>
      </w:pPr>
      <w:r>
        <w:rPr>
          <w:rFonts w:hint="eastAsia"/>
          <w:szCs w:val="21"/>
        </w:rPr>
        <w:t>重复分析相对偏差允许限</w:t>
      </w:r>
      <w:r>
        <w:rPr>
          <w:rFonts w:hint="eastAsia"/>
          <w:szCs w:val="21"/>
          <w:lang w:eastAsia="zh-CN"/>
        </w:rPr>
        <w:t>按</w:t>
      </w:r>
      <w:r>
        <w:rPr>
          <w:rFonts w:hint="eastAsia"/>
          <w:szCs w:val="21"/>
        </w:rPr>
        <w:t>C.1</w:t>
      </w:r>
      <w:r>
        <w:rPr>
          <w:rFonts w:hint="eastAsia"/>
          <w:szCs w:val="21"/>
          <w:lang w:eastAsia="zh-CN"/>
        </w:rPr>
        <w:t>、</w:t>
      </w:r>
      <w:r>
        <w:rPr>
          <w:rFonts w:hint="eastAsia"/>
          <w:szCs w:val="21"/>
        </w:rPr>
        <w:t xml:space="preserve">C.2 </w:t>
      </w:r>
      <w:r>
        <w:rPr>
          <w:rFonts w:hint="eastAsia"/>
          <w:szCs w:val="21"/>
          <w:lang w:eastAsia="zh-CN"/>
        </w:rPr>
        <w:t>执行。</w:t>
      </w:r>
    </w:p>
    <w:p w14:paraId="5B17D2F5">
      <w:pPr>
        <w:pStyle w:val="25"/>
        <w:jc w:val="center"/>
        <w:rPr>
          <w:szCs w:val="21"/>
        </w:rPr>
      </w:pPr>
    </w:p>
    <w:p w14:paraId="76CACF51">
      <w:pPr>
        <w:pStyle w:val="25"/>
        <w:ind w:firstLine="0" w:firstLineChars="0"/>
        <w:jc w:val="left"/>
        <w:rPr>
          <w:szCs w:val="21"/>
        </w:rPr>
      </w:pPr>
      <w:r>
        <w:rPr>
          <w:rFonts w:hint="eastAsia"/>
          <w:szCs w:val="21"/>
        </w:rPr>
        <w:t>C.1  固体废物重复分析相对偏差允许限</w:t>
      </w:r>
    </w:p>
    <w:p w14:paraId="45E2271F">
      <w:pPr>
        <w:pStyle w:val="25"/>
        <w:jc w:val="left"/>
        <w:rPr>
          <w:szCs w:val="21"/>
        </w:rPr>
      </w:pPr>
    </w:p>
    <w:p w14:paraId="2BB6F5EE">
      <w:pPr>
        <w:pStyle w:val="25"/>
        <w:ind w:firstLine="960" w:firstLineChars="400"/>
        <w:jc w:val="left"/>
        <w:rPr>
          <w:rFonts w:hAnsi="宋体" w:cs="宋体"/>
          <w:sz w:val="24"/>
          <w:szCs w:val="24"/>
        </w:rPr>
      </w:pPr>
      <w:r>
        <w:rPr>
          <w:rFonts w:hint="eastAsia" w:hAnsi="宋体" w:cs="宋体"/>
          <w:sz w:val="24"/>
          <w:szCs w:val="24"/>
        </w:rPr>
        <w:t>Yc=C×(14.37</w:t>
      </w:r>
      <m:oMath>
        <m:sSup>
          <m:sSupPr>
            <m:ctrlPr>
              <w:rPr>
                <w:rFonts w:hint="eastAsia" w:ascii="Cambria Math" w:hAnsi="Cambria Math" w:cs="宋体"/>
                <w:i/>
                <w:sz w:val="24"/>
                <w:szCs w:val="24"/>
              </w:rPr>
            </m:ctrlPr>
          </m:sSupPr>
          <m:e>
            <m:r>
              <m:rPr/>
              <w:rPr>
                <w:rFonts w:hint="eastAsia" w:ascii="Cambria Math" w:hAnsi="Cambria Math" w:cs="宋体"/>
                <w:sz w:val="24"/>
                <w:szCs w:val="24"/>
              </w:rPr>
              <m:t>X</m:t>
            </m:r>
            <m:ctrlPr>
              <w:rPr>
                <w:rFonts w:hint="eastAsia" w:ascii="Cambria Math" w:hAnsi="Cambria Math" w:cs="宋体"/>
                <w:i/>
                <w:sz w:val="24"/>
                <w:szCs w:val="24"/>
              </w:rPr>
            </m:ctrlPr>
          </m:e>
          <m:sup>
            <m:r>
              <m:rPr/>
              <w:rPr>
                <w:rFonts w:hint="eastAsia" w:ascii="Cambria Math" w:hAnsi="Cambria Math" w:cs="宋体"/>
                <w:sz w:val="24"/>
                <w:szCs w:val="24"/>
              </w:rPr>
              <m:t>−0.1263</m:t>
            </m:r>
            <m:ctrlPr>
              <w:rPr>
                <w:rFonts w:hint="eastAsia" w:ascii="Cambria Math" w:hAnsi="Cambria Math" w:cs="宋体"/>
                <w:i/>
                <w:sz w:val="24"/>
                <w:szCs w:val="24"/>
              </w:rPr>
            </m:ctrlPr>
          </m:sup>
        </m:sSup>
      </m:oMath>
      <w:r>
        <w:rPr>
          <w:rFonts w:hint="eastAsia" w:hAnsi="宋体" w:cs="宋体"/>
          <w:sz w:val="24"/>
          <w:szCs w:val="24"/>
        </w:rPr>
        <w:t>-7.659)</w:t>
      </w:r>
    </w:p>
    <w:p w14:paraId="6B6847B3">
      <w:pPr>
        <w:pStyle w:val="25"/>
        <w:ind w:firstLine="960" w:firstLineChars="400"/>
        <w:jc w:val="left"/>
        <w:rPr>
          <w:rFonts w:hAnsi="宋体" w:cs="宋体"/>
          <w:sz w:val="24"/>
          <w:szCs w:val="24"/>
        </w:rPr>
      </w:pPr>
    </w:p>
    <w:p w14:paraId="130F4BDE">
      <w:pPr>
        <w:pStyle w:val="25"/>
        <w:ind w:firstLine="0" w:firstLineChars="0"/>
        <w:jc w:val="left"/>
        <w:rPr>
          <w:szCs w:val="21"/>
        </w:rPr>
      </w:pPr>
      <w:r>
        <w:rPr>
          <w:rFonts w:hAnsi="宋体" w:cs="宋体"/>
          <w:szCs w:val="21"/>
        </w:rPr>
        <w:t>式中：</w:t>
      </w:r>
      <w:r>
        <w:rPr>
          <w:rFonts w:hint="eastAsia" w:hAnsi="宋体" w:cs="宋体"/>
          <w:sz w:val="24"/>
          <w:szCs w:val="24"/>
        </w:rPr>
        <w:t>Yc</w:t>
      </w:r>
      <w:r>
        <w:rPr>
          <w:rFonts w:ascii="Times New Roman" w:eastAsia="Times New Roman"/>
          <w:sz w:val="20"/>
        </w:rPr>
        <w:t>—</w:t>
      </w:r>
      <w:r>
        <w:rPr>
          <w:rFonts w:hint="eastAsia" w:ascii="Times New Roman"/>
          <w:sz w:val="20"/>
        </w:rPr>
        <w:t>铀/钍</w:t>
      </w:r>
      <w:r>
        <w:rPr>
          <w:rFonts w:hint="eastAsia"/>
          <w:szCs w:val="21"/>
        </w:rPr>
        <w:t>重复分析相对偏差允许限，%；</w:t>
      </w:r>
    </w:p>
    <w:p w14:paraId="765EC628">
      <w:pPr>
        <w:pStyle w:val="25"/>
        <w:ind w:firstLine="720" w:firstLineChars="300"/>
        <w:jc w:val="left"/>
        <w:rPr>
          <w:rFonts w:hAnsi="宋体" w:cs="宋体"/>
          <w:sz w:val="24"/>
          <w:szCs w:val="24"/>
        </w:rPr>
      </w:pPr>
      <w:r>
        <w:rPr>
          <w:rFonts w:hint="eastAsia" w:hAnsi="宋体" w:cs="宋体"/>
          <w:sz w:val="24"/>
          <w:szCs w:val="24"/>
        </w:rPr>
        <w:t>C</w:t>
      </w:r>
      <w:r>
        <w:rPr>
          <w:rFonts w:ascii="Times New Roman" w:eastAsia="Times New Roman"/>
          <w:sz w:val="20"/>
        </w:rPr>
        <w:t>—</w:t>
      </w:r>
      <w:r>
        <w:rPr>
          <w:rFonts w:hint="eastAsia" w:ascii="Times New Roman"/>
          <w:sz w:val="20"/>
        </w:rPr>
        <w:t>铀/钍</w:t>
      </w:r>
      <w:r>
        <w:rPr>
          <w:rFonts w:hint="eastAsia"/>
          <w:szCs w:val="21"/>
        </w:rPr>
        <w:t>重复分析相对偏差允许限系数，对铀</w:t>
      </w:r>
      <w:r>
        <w:rPr>
          <w:rFonts w:hint="eastAsia" w:hAnsi="宋体" w:cs="宋体"/>
          <w:sz w:val="24"/>
          <w:szCs w:val="24"/>
        </w:rPr>
        <w:t>C=0.67，</w:t>
      </w:r>
      <w:r>
        <w:rPr>
          <w:rFonts w:hint="eastAsia"/>
          <w:szCs w:val="21"/>
        </w:rPr>
        <w:t>对钍</w:t>
      </w:r>
      <w:r>
        <w:rPr>
          <w:rFonts w:hint="eastAsia" w:hAnsi="宋体" w:cs="宋体"/>
          <w:sz w:val="24"/>
          <w:szCs w:val="24"/>
        </w:rPr>
        <w:t>C=1。</w:t>
      </w:r>
    </w:p>
    <w:p w14:paraId="21C17F3C">
      <w:pPr>
        <w:pStyle w:val="25"/>
        <w:ind w:firstLine="720" w:firstLineChars="300"/>
        <w:jc w:val="left"/>
        <w:rPr>
          <w:szCs w:val="21"/>
        </w:rPr>
      </w:pPr>
      <w:r>
        <w:rPr>
          <w:rFonts w:hint="eastAsia" w:hAnsi="宋体" w:cs="宋体"/>
          <w:sz w:val="24"/>
          <w:szCs w:val="24"/>
        </w:rPr>
        <w:t>X</w:t>
      </w:r>
      <w:r>
        <w:rPr>
          <w:rFonts w:ascii="Times New Roman" w:eastAsia="Times New Roman"/>
          <w:sz w:val="20"/>
        </w:rPr>
        <w:t>—</w:t>
      </w:r>
      <w:r>
        <w:rPr>
          <w:rFonts w:hint="eastAsia" w:ascii="Times New Roman"/>
          <w:sz w:val="20"/>
        </w:rPr>
        <w:t>固废中铀/钍</w:t>
      </w:r>
      <w:r>
        <w:rPr>
          <w:rFonts w:hint="eastAsia"/>
          <w:szCs w:val="21"/>
        </w:rPr>
        <w:t>重复分析平均质量分数，%。</w:t>
      </w:r>
    </w:p>
    <w:p w14:paraId="03DD84A2">
      <w:pPr>
        <w:pStyle w:val="25"/>
        <w:ind w:firstLine="630" w:firstLineChars="300"/>
        <w:jc w:val="left"/>
        <w:rPr>
          <w:szCs w:val="21"/>
        </w:rPr>
      </w:pPr>
    </w:p>
    <w:p w14:paraId="01F0F7B9">
      <w:pPr>
        <w:pStyle w:val="25"/>
        <w:ind w:firstLine="0" w:firstLineChars="0"/>
        <w:jc w:val="left"/>
        <w:rPr>
          <w:szCs w:val="21"/>
        </w:rPr>
      </w:pPr>
      <w:r>
        <w:rPr>
          <w:rFonts w:hint="eastAsia"/>
          <w:szCs w:val="21"/>
        </w:rPr>
        <w:t>C.2  固体废物浸出液重复分析相对偏差允许限</w:t>
      </w:r>
    </w:p>
    <w:p w14:paraId="0BE59871">
      <w:pPr>
        <w:pStyle w:val="25"/>
        <w:ind w:firstLine="0" w:firstLineChars="0"/>
        <w:jc w:val="left"/>
        <w:rPr>
          <w:szCs w:val="21"/>
        </w:rPr>
      </w:pPr>
    </w:p>
    <w:p w14:paraId="663AE67E">
      <w:pPr>
        <w:pStyle w:val="25"/>
        <w:ind w:firstLine="960" w:firstLineChars="400"/>
        <w:jc w:val="left"/>
        <w:rPr>
          <w:szCs w:val="21"/>
        </w:rPr>
      </w:pPr>
      <w:r>
        <w:rPr>
          <w:rFonts w:hint="eastAsia" w:hAnsi="宋体" w:cs="宋体"/>
          <w:sz w:val="24"/>
          <w:szCs w:val="24"/>
        </w:rPr>
        <w:t>Yc'=C× 11.0</w:t>
      </w:r>
      <m:oMath>
        <m:sSup>
          <m:sSupPr>
            <m:ctrlPr>
              <w:rPr>
                <w:rFonts w:hint="eastAsia" w:ascii="Cambria Math" w:hAnsi="Cambria Math" w:cs="宋体"/>
                <w:i/>
                <w:sz w:val="24"/>
                <w:szCs w:val="24"/>
              </w:rPr>
            </m:ctrlPr>
          </m:sSupPr>
          <m:e>
            <m:r>
              <m:rPr/>
              <w:rPr>
                <w:rFonts w:hint="eastAsia" w:ascii="Cambria Math" w:hAnsi="Cambria Math" w:cs="宋体"/>
                <w:sz w:val="24"/>
                <w:szCs w:val="24"/>
              </w:rPr>
              <m:t>X</m:t>
            </m:r>
            <m:ctrlPr>
              <w:rPr>
                <w:rFonts w:hint="eastAsia" w:ascii="Cambria Math" w:hAnsi="Cambria Math" w:cs="宋体"/>
                <w:i/>
                <w:sz w:val="24"/>
                <w:szCs w:val="24"/>
              </w:rPr>
            </m:ctrlPr>
          </m:e>
          <m:sup>
            <m:r>
              <m:rPr/>
              <w:rPr>
                <w:rFonts w:hint="eastAsia" w:ascii="Cambria Math" w:hAnsi="Cambria Math" w:cs="宋体"/>
                <w:sz w:val="24"/>
                <w:szCs w:val="24"/>
              </w:rPr>
              <m:t>−0.</m:t>
            </m:r>
            <m:r>
              <m:rPr/>
              <w:rPr>
                <w:rFonts w:ascii="Cambria Math" w:hAnsi="Cambria Math" w:cs="宋体"/>
                <w:sz w:val="24"/>
                <w:szCs w:val="24"/>
              </w:rPr>
              <m:t>28</m:t>
            </m:r>
            <m:ctrlPr>
              <w:rPr>
                <w:rFonts w:hint="eastAsia" w:ascii="Cambria Math" w:hAnsi="Cambria Math" w:cs="宋体"/>
                <w:i/>
                <w:sz w:val="24"/>
                <w:szCs w:val="24"/>
              </w:rPr>
            </m:ctrlPr>
          </m:sup>
        </m:sSup>
      </m:oMath>
    </w:p>
    <w:p w14:paraId="2A658686">
      <w:pPr>
        <w:pStyle w:val="25"/>
        <w:ind w:firstLine="630" w:firstLineChars="300"/>
        <w:jc w:val="left"/>
        <w:rPr>
          <w:szCs w:val="21"/>
        </w:rPr>
      </w:pPr>
    </w:p>
    <w:p w14:paraId="7D8137D4">
      <w:pPr>
        <w:pStyle w:val="25"/>
        <w:ind w:firstLine="0" w:firstLineChars="0"/>
        <w:jc w:val="left"/>
        <w:rPr>
          <w:szCs w:val="21"/>
        </w:rPr>
      </w:pPr>
      <w:r>
        <w:rPr>
          <w:rFonts w:hAnsi="宋体" w:cs="宋体"/>
          <w:szCs w:val="21"/>
        </w:rPr>
        <w:t>式中：</w:t>
      </w:r>
      <w:r>
        <w:rPr>
          <w:rFonts w:hint="eastAsia" w:hAnsi="宋体" w:cs="宋体"/>
          <w:sz w:val="24"/>
          <w:szCs w:val="24"/>
        </w:rPr>
        <w:t>Yc'</w:t>
      </w:r>
      <w:r>
        <w:rPr>
          <w:rFonts w:ascii="Times New Roman" w:eastAsia="Times New Roman"/>
          <w:sz w:val="20"/>
        </w:rPr>
        <w:t>—</w:t>
      </w:r>
      <w:r>
        <w:rPr>
          <w:rFonts w:hint="eastAsia"/>
          <w:szCs w:val="21"/>
        </w:rPr>
        <w:t>固体废物浸出液中</w:t>
      </w:r>
      <w:r>
        <w:rPr>
          <w:rFonts w:hint="eastAsia" w:ascii="Times New Roman"/>
          <w:sz w:val="20"/>
        </w:rPr>
        <w:t>铀</w:t>
      </w:r>
      <w:r>
        <w:rPr>
          <w:rFonts w:hint="eastAsia" w:ascii="Times New Roman"/>
          <w:sz w:val="20"/>
          <w:lang w:eastAsia="zh-CN"/>
        </w:rPr>
        <w:t>或</w:t>
      </w:r>
      <w:r>
        <w:rPr>
          <w:rFonts w:hint="eastAsia" w:ascii="Times New Roman"/>
          <w:sz w:val="20"/>
        </w:rPr>
        <w:t>钍</w:t>
      </w:r>
      <w:r>
        <w:rPr>
          <w:rFonts w:hint="eastAsia"/>
          <w:szCs w:val="21"/>
        </w:rPr>
        <w:t>重复分析相对偏差允许限，%；</w:t>
      </w:r>
    </w:p>
    <w:p w14:paraId="5551E34B">
      <w:pPr>
        <w:pStyle w:val="25"/>
        <w:ind w:firstLine="720" w:firstLineChars="300"/>
        <w:jc w:val="left"/>
        <w:rPr>
          <w:rFonts w:hAnsi="宋体" w:cs="宋体"/>
          <w:sz w:val="24"/>
          <w:szCs w:val="24"/>
        </w:rPr>
      </w:pPr>
      <w:r>
        <w:rPr>
          <w:rFonts w:hint="eastAsia" w:hAnsi="宋体" w:cs="宋体"/>
          <w:sz w:val="24"/>
          <w:szCs w:val="24"/>
        </w:rPr>
        <w:t>C</w:t>
      </w:r>
      <w:r>
        <w:rPr>
          <w:rFonts w:ascii="Times New Roman" w:eastAsia="Times New Roman"/>
          <w:sz w:val="20"/>
        </w:rPr>
        <w:t>—</w:t>
      </w:r>
      <w:r>
        <w:rPr>
          <w:rFonts w:hint="eastAsia"/>
          <w:szCs w:val="21"/>
        </w:rPr>
        <w:t>固体废物浸出液中</w:t>
      </w:r>
      <w:r>
        <w:rPr>
          <w:rFonts w:hint="eastAsia" w:ascii="Times New Roman"/>
          <w:sz w:val="20"/>
        </w:rPr>
        <w:t>铀</w:t>
      </w:r>
      <w:r>
        <w:rPr>
          <w:rFonts w:hint="eastAsia" w:ascii="Times New Roman"/>
          <w:sz w:val="20"/>
          <w:lang w:eastAsia="zh-CN"/>
        </w:rPr>
        <w:t>或</w:t>
      </w:r>
      <w:r>
        <w:rPr>
          <w:rFonts w:hint="eastAsia" w:ascii="Times New Roman"/>
          <w:sz w:val="20"/>
        </w:rPr>
        <w:t>钍</w:t>
      </w:r>
      <w:r>
        <w:rPr>
          <w:rFonts w:hint="eastAsia"/>
          <w:szCs w:val="21"/>
        </w:rPr>
        <w:t>重复分析相对偏差允许限系数，对铀</w:t>
      </w:r>
      <w:r>
        <w:rPr>
          <w:rFonts w:hint="eastAsia" w:hAnsi="宋体" w:cs="宋体"/>
          <w:sz w:val="24"/>
          <w:szCs w:val="24"/>
        </w:rPr>
        <w:t>C=0.67，</w:t>
      </w:r>
      <w:r>
        <w:rPr>
          <w:rFonts w:hint="eastAsia"/>
          <w:szCs w:val="21"/>
        </w:rPr>
        <w:t>对钍</w:t>
      </w:r>
      <w:r>
        <w:rPr>
          <w:rFonts w:hint="eastAsia" w:hAnsi="宋体" w:cs="宋体"/>
          <w:sz w:val="24"/>
          <w:szCs w:val="24"/>
        </w:rPr>
        <w:t>C=1。</w:t>
      </w:r>
    </w:p>
    <w:p w14:paraId="7449071A">
      <w:pPr>
        <w:pStyle w:val="25"/>
        <w:ind w:firstLine="720" w:firstLineChars="300"/>
        <w:jc w:val="left"/>
        <w:rPr>
          <w:szCs w:val="21"/>
        </w:rPr>
      </w:pPr>
      <w:r>
        <w:rPr>
          <w:rFonts w:hint="eastAsia" w:hAnsi="宋体" w:cs="宋体"/>
          <w:sz w:val="24"/>
          <w:szCs w:val="24"/>
        </w:rPr>
        <w:t>X</w:t>
      </w:r>
      <w:r>
        <w:rPr>
          <w:rFonts w:ascii="Times New Roman" w:eastAsia="Times New Roman"/>
          <w:sz w:val="20"/>
        </w:rPr>
        <w:t>—</w:t>
      </w:r>
      <w:r>
        <w:rPr>
          <w:rFonts w:hint="eastAsia"/>
          <w:szCs w:val="21"/>
        </w:rPr>
        <w:t>固体废物浸出液中</w:t>
      </w:r>
      <w:r>
        <w:rPr>
          <w:rFonts w:hint="eastAsia" w:ascii="Times New Roman"/>
          <w:sz w:val="20"/>
        </w:rPr>
        <w:t>铀</w:t>
      </w:r>
      <w:r>
        <w:rPr>
          <w:rFonts w:hint="eastAsia" w:ascii="Times New Roman"/>
          <w:sz w:val="20"/>
          <w:lang w:eastAsia="zh-CN"/>
        </w:rPr>
        <w:t>或</w:t>
      </w:r>
      <w:r>
        <w:rPr>
          <w:rFonts w:hint="eastAsia" w:ascii="Times New Roman"/>
          <w:sz w:val="20"/>
        </w:rPr>
        <w:t>钍</w:t>
      </w:r>
      <w:r>
        <w:rPr>
          <w:rFonts w:hint="eastAsia"/>
          <w:szCs w:val="21"/>
        </w:rPr>
        <w:t>重复分析平均浓度，mg/L。</w:t>
      </w:r>
    </w:p>
    <w:p w14:paraId="4E2FD226">
      <w:pPr>
        <w:pStyle w:val="25"/>
        <w:ind w:firstLine="0" w:firstLineChars="0"/>
        <w:rPr>
          <w:szCs w:val="21"/>
        </w:rPr>
      </w:pPr>
    </w:p>
    <w:p w14:paraId="4D6B2D4D">
      <w:pPr>
        <w:pStyle w:val="25"/>
        <w:ind w:firstLine="630" w:firstLineChars="300"/>
        <w:jc w:val="left"/>
        <w:rPr>
          <w:szCs w:val="21"/>
        </w:rPr>
      </w:pPr>
    </w:p>
    <w:p w14:paraId="4BC05DEB">
      <w:pPr>
        <w:pStyle w:val="25"/>
        <w:ind w:firstLine="630" w:firstLineChars="300"/>
        <w:jc w:val="left"/>
        <w:rPr>
          <w:szCs w:val="21"/>
        </w:rPr>
      </w:pPr>
    </w:p>
    <w:p w14:paraId="45F5B1D4">
      <w:pPr>
        <w:pStyle w:val="25"/>
        <w:ind w:firstLine="630" w:firstLineChars="300"/>
        <w:jc w:val="left"/>
        <w:rPr>
          <w:szCs w:val="21"/>
        </w:rPr>
      </w:pPr>
    </w:p>
    <w:p w14:paraId="4922DF9B">
      <w:pPr>
        <w:pStyle w:val="25"/>
        <w:ind w:firstLine="630" w:firstLineChars="300"/>
        <w:jc w:val="left"/>
        <w:rPr>
          <w:szCs w:val="21"/>
        </w:rPr>
      </w:pPr>
    </w:p>
    <w:p w14:paraId="5811163F">
      <w:pPr>
        <w:pStyle w:val="25"/>
        <w:ind w:firstLine="630" w:firstLineChars="300"/>
        <w:jc w:val="left"/>
        <w:rPr>
          <w:szCs w:val="21"/>
        </w:rPr>
      </w:pPr>
    </w:p>
    <w:bookmarkEnd w:id="19"/>
    <w:bookmarkEnd w:id="38"/>
    <w:bookmarkEnd w:id="43"/>
    <w:p w14:paraId="2BAEF5F5">
      <w:pPr>
        <w:pStyle w:val="25"/>
        <w:jc w:val="center"/>
      </w:pPr>
    </w:p>
    <w:p w14:paraId="5A19B7B6">
      <w:pPr>
        <w:pStyle w:val="25"/>
        <w:jc w:val="center"/>
      </w:pPr>
      <w:r>
        <w:t>_________________________________</w:t>
      </w:r>
    </w:p>
    <w:p w14:paraId="77E4DF77"/>
    <w:sectPr>
      <w:headerReference r:id="rId9" w:type="default"/>
      <w:footerReference r:id="rId10" w:type="default"/>
      <w:pgSz w:w="11906" w:h="16838"/>
      <w:pgMar w:top="567" w:right="1134" w:bottom="1134" w:left="1417" w:header="1418" w:footer="1134" w:gutter="0"/>
      <w:pgNumType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华文行楷">
    <w:altName w:val="微软雅黑"/>
    <w:panose1 w:val="02010800040101010101"/>
    <w:charset w:val="86"/>
    <w:family w:val="auto"/>
    <w:pitch w:val="default"/>
    <w:sig w:usb0="00000000" w:usb1="00000000" w:usb2="00000000" w:usb3="00000000" w:csb0="00040000" w:csb1="00000000"/>
  </w:font>
  <w:font w:name="Trebuchet MS">
    <w:panose1 w:val="020B0603020202020204"/>
    <w:charset w:val="00"/>
    <w:family w:val="swiss"/>
    <w:pitch w:val="default"/>
    <w:sig w:usb0="00000287" w:usb1="00000000" w:usb2="00000000" w:usb3="00000000" w:csb0="2000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3D909">
    <w:pPr>
      <w:pStyle w:val="29"/>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C02F6">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9F52B">
    <w:pPr>
      <w:pStyle w:val="35"/>
    </w:pPr>
    <w:r>
      <w:fldChar w:fldCharType="begin"/>
    </w:r>
    <w:r>
      <w:instrText xml:space="preserve"> PAGE  \* MERGEFORMAT </w:instrText>
    </w:r>
    <w:r>
      <w:fldChar w:fldCharType="separate"/>
    </w:r>
    <w: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47A0C">
    <w:pPr>
      <w:pStyle w:val="35"/>
    </w:pPr>
    <w:r>
      <w:fldChar w:fldCharType="begin"/>
    </w:r>
    <w:r>
      <w:instrText xml:space="preserve"> PAGE  \* MERGEFORMAT </w:instrText>
    </w:r>
    <w:r>
      <w:fldChar w:fldCharType="separate"/>
    </w:r>
    <w: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10BE4">
    <w:pPr>
      <w:pStyle w:val="27"/>
      <w:rPr>
        <w:rFonts w:hint="default" w:eastAsia="黑体"/>
        <w:lang w:val="en-US" w:eastAsia="zh-CN"/>
      </w:rPr>
    </w:pPr>
    <w:r>
      <w:t xml:space="preserve">DB36/T </w:t>
    </w:r>
    <w:r>
      <w:rPr>
        <w:rFonts w:hint="eastAsia"/>
      </w:rPr>
      <w:t>XXX</w:t>
    </w:r>
    <w:r>
      <w:t>—20</w:t>
    </w:r>
    <w:r>
      <w:rPr>
        <w:rFonts w:hint="eastAsia"/>
        <w:lang w:val="en-US" w:eastAsia="zh-CN"/>
      </w:rPr>
      <w:t>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3FAFB">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F94DF">
    <w:pPr>
      <w:pStyle w:val="28"/>
      <w:wordWrap w:val="0"/>
    </w:pPr>
    <w:r>
      <w:t>DB</w:t>
    </w:r>
    <w:r>
      <w:rPr>
        <w:rFonts w:hint="eastAsia"/>
      </w:rPr>
      <w:t>36</w:t>
    </w:r>
    <w:r>
      <w:t>/</w:t>
    </w:r>
    <w:r>
      <w:rPr>
        <w:rFonts w:hint="eastAsia"/>
      </w:rPr>
      <w:t>TXXX</w:t>
    </w:r>
    <w:r>
      <w:t>—</w:t>
    </w:r>
    <w:r>
      <w:rPr>
        <w:rFonts w:hint="eastAsia"/>
      </w:rPr>
      <w:t>2020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74D8A">
    <w:pPr>
      <w:pStyle w:val="28"/>
      <w:wordWrap w:val="0"/>
    </w:pPr>
    <w:r>
      <w:t>DB</w:t>
    </w:r>
    <w:r>
      <w:rPr>
        <w:rFonts w:hint="eastAsia"/>
      </w:rPr>
      <w:t>36</w:t>
    </w:r>
    <w:r>
      <w:t>/</w:t>
    </w:r>
    <w:r>
      <w:rPr>
        <w:rFonts w:hint="eastAsia"/>
      </w:rPr>
      <w:t>TXXX</w:t>
    </w:r>
    <w:r>
      <w:t>—</w:t>
    </w:r>
    <w:r>
      <w:rPr>
        <w:rFonts w:hint="eastAsia"/>
      </w:rPr>
      <w:t>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3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iMjFhNjIyYzE0ZWNjMWI5NjJlODEyYTM4NmRiY2EifQ=="/>
  </w:docVars>
  <w:rsids>
    <w:rsidRoot w:val="16BDE3D9"/>
    <w:rsid w:val="16BDE3D9"/>
    <w:rsid w:val="3EBE3C01"/>
    <w:rsid w:val="40765AD0"/>
    <w:rsid w:val="45051991"/>
    <w:rsid w:val="626B08B8"/>
    <w:rsid w:val="69B33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snapToGrid w:val="0"/>
      <w:ind w:right="210" w:rightChars="100"/>
      <w:jc w:val="right"/>
    </w:pPr>
    <w:rPr>
      <w:sz w:val="18"/>
      <w:szCs w:val="18"/>
    </w:rPr>
  </w:style>
  <w:style w:type="paragraph" w:styleId="3">
    <w:name w:val="header"/>
    <w:basedOn w:val="1"/>
    <w:qFormat/>
    <w:uiPriority w:val="0"/>
    <w:pPr>
      <w:snapToGrid w:val="0"/>
      <w:jc w:val="left"/>
    </w:pPr>
    <w:rPr>
      <w:sz w:val="18"/>
      <w:szCs w:val="18"/>
    </w:rPr>
  </w:style>
  <w:style w:type="paragraph" w:styleId="4">
    <w:name w:val="toc 1"/>
    <w:basedOn w:val="1"/>
    <w:next w:val="1"/>
    <w:qFormat/>
    <w:uiPriority w:val="39"/>
    <w:pPr>
      <w:tabs>
        <w:tab w:val="right" w:leader="dot" w:pos="9241"/>
      </w:tabs>
      <w:spacing w:beforeLines="25" w:afterLines="25"/>
      <w:jc w:val="left"/>
    </w:pPr>
    <w:rPr>
      <w:rFonts w:ascii="宋体"/>
      <w:szCs w:val="21"/>
    </w:rPr>
  </w:style>
  <w:style w:type="table" w:styleId="6">
    <w:name w:val="Table Grid"/>
    <w:basedOn w:val="5"/>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8">
    <w:name w:val="Hyperlink"/>
    <w:qFormat/>
    <w:uiPriority w:val="99"/>
    <w:rPr>
      <w:color w:val="0000FF"/>
      <w:spacing w:val="0"/>
      <w:w w:val="100"/>
      <w:szCs w:val="21"/>
      <w:u w:val="single"/>
      <w:lang w:val="en-US" w:eastAsia="zh-CN"/>
    </w:rPr>
  </w:style>
  <w:style w:type="paragraph" w:customStyle="1" w:styleId="9">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0">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11">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3">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4">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5">
    <w:name w:val="封面标准英文名称"/>
    <w:basedOn w:val="14"/>
    <w:qFormat/>
    <w:uiPriority w:val="0"/>
    <w:pPr>
      <w:spacing w:before="370" w:line="400" w:lineRule="exact"/>
    </w:pPr>
    <w:rPr>
      <w:rFonts w:ascii="Times New Roman"/>
      <w:sz w:val="28"/>
      <w:szCs w:val="28"/>
    </w:rPr>
  </w:style>
  <w:style w:type="paragraph" w:customStyle="1" w:styleId="16">
    <w:name w:val="封面一致性程度标识"/>
    <w:basedOn w:val="15"/>
    <w:qFormat/>
    <w:uiPriority w:val="0"/>
    <w:pPr>
      <w:spacing w:before="440"/>
    </w:pPr>
    <w:rPr>
      <w:rFonts w:ascii="宋体" w:eastAsia="宋体"/>
    </w:rPr>
  </w:style>
  <w:style w:type="paragraph" w:customStyle="1" w:styleId="17">
    <w:name w:val="封面标准文稿类别"/>
    <w:basedOn w:val="16"/>
    <w:qFormat/>
    <w:uiPriority w:val="0"/>
    <w:pPr>
      <w:spacing w:after="160" w:line="240" w:lineRule="auto"/>
    </w:pPr>
    <w:rPr>
      <w:sz w:val="24"/>
    </w:rPr>
  </w:style>
  <w:style w:type="paragraph" w:customStyle="1" w:styleId="18">
    <w:name w:val="封面标准文稿编辑信息"/>
    <w:basedOn w:val="17"/>
    <w:qFormat/>
    <w:uiPriority w:val="0"/>
    <w:pPr>
      <w:spacing w:before="180" w:line="180" w:lineRule="exact"/>
    </w:pPr>
    <w:rPr>
      <w:sz w:val="21"/>
    </w:rPr>
  </w:style>
  <w:style w:type="paragraph" w:customStyle="1" w:styleId="19">
    <w:name w:val="其他发布日期"/>
    <w:basedOn w:val="20"/>
    <w:qFormat/>
    <w:uiPriority w:val="0"/>
    <w:pPr>
      <w:framePr w:vAnchor="page" w:hAnchor="text" w:x="1419"/>
    </w:pPr>
  </w:style>
  <w:style w:type="paragraph" w:customStyle="1" w:styleId="20">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21">
    <w:name w:val="其他实施日期"/>
    <w:basedOn w:val="22"/>
    <w:qFormat/>
    <w:uiPriority w:val="0"/>
  </w:style>
  <w:style w:type="paragraph" w:customStyle="1" w:styleId="22">
    <w:name w:val="实施日期"/>
    <w:basedOn w:val="20"/>
    <w:qFormat/>
    <w:uiPriority w:val="0"/>
    <w:pPr>
      <w:framePr w:vAnchor="page" w:hAnchor="text"/>
      <w:jc w:val="right"/>
    </w:pPr>
  </w:style>
  <w:style w:type="paragraph" w:customStyle="1" w:styleId="23">
    <w:name w:val="其他发布部门"/>
    <w:basedOn w:val="24"/>
    <w:qFormat/>
    <w:uiPriority w:val="0"/>
    <w:pPr>
      <w:framePr w:y="15310"/>
      <w:spacing w:line="0" w:lineRule="atLeast"/>
    </w:pPr>
    <w:rPr>
      <w:rFonts w:ascii="黑体" w:eastAsia="黑体"/>
      <w:b w:val="0"/>
    </w:rPr>
  </w:style>
  <w:style w:type="paragraph" w:customStyle="1" w:styleId="24">
    <w:name w:val="发布部门"/>
    <w:next w:val="25"/>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2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6">
    <w:name w:val="发布"/>
    <w:qFormat/>
    <w:uiPriority w:val="0"/>
    <w:rPr>
      <w:rFonts w:ascii="黑体" w:eastAsia="黑体"/>
      <w:spacing w:val="85"/>
      <w:w w:val="100"/>
      <w:position w:val="3"/>
      <w:sz w:val="28"/>
      <w:szCs w:val="28"/>
    </w:rPr>
  </w:style>
  <w:style w:type="paragraph" w:customStyle="1" w:styleId="27">
    <w:name w:val="标准书眉_偶数页"/>
    <w:basedOn w:val="28"/>
    <w:next w:val="1"/>
    <w:qFormat/>
    <w:uiPriority w:val="0"/>
    <w:pPr>
      <w:tabs>
        <w:tab w:val="center" w:pos="4154"/>
        <w:tab w:val="right" w:pos="8306"/>
      </w:tabs>
      <w:jc w:val="left"/>
    </w:pPr>
  </w:style>
  <w:style w:type="paragraph" w:customStyle="1" w:styleId="2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9">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30">
    <w:name w:val="目次、标准名称标题"/>
    <w:basedOn w:val="1"/>
    <w:next w:val="2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31">
    <w:name w:val="前言、引言标题"/>
    <w:next w:val="25"/>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2">
    <w:name w:val="章标题"/>
    <w:next w:val="25"/>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33">
    <w:name w:val="一级条标题"/>
    <w:next w:val="25"/>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34">
    <w:name w:val="一级无"/>
    <w:basedOn w:val="33"/>
    <w:qFormat/>
    <w:uiPriority w:val="0"/>
    <w:pPr>
      <w:spacing w:beforeLines="0" w:afterLines="0"/>
    </w:pPr>
    <w:rPr>
      <w:rFonts w:ascii="宋体" w:eastAsia="宋体"/>
    </w:rPr>
  </w:style>
  <w:style w:type="paragraph" w:customStyle="1" w:styleId="35">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5727</Words>
  <Characters>7696</Characters>
  <Lines>0</Lines>
  <Paragraphs>0</Paragraphs>
  <TotalTime>12</TotalTime>
  <ScaleCrop>false</ScaleCrop>
  <LinksUpToDate>false</LinksUpToDate>
  <CharactersWithSpaces>8278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2024-10-16T09:12:00Z</dcterms:created>
  <dc:creator>test</dc:creator>
  <cp:lastModifiedBy>陈星瞳</cp:lastModifiedBy>
  <dcterms:modified xsi:type="dcterms:W3CDTF">2024-10-17T00:29:56Z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038B754D8A6F4C96B652E5E0A590AF28_13</vt:lpwstr>
  </property>
</Properties>
</file>